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23C5C">
      <w:pPr>
        <w:jc w:val="center"/>
        <w:rPr>
          <w:rFonts w:ascii="方正小标宋简体" w:hAnsi="宋体" w:eastAsia="方正小标宋简体" w:cs="黑体"/>
          <w:spacing w:val="2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0"/>
          <w:szCs w:val="44"/>
        </w:rPr>
        <w:t>《绿色食品 黄淮海北部地区小麦生产操作规程》</w:t>
      </w:r>
      <w:r>
        <w:rPr>
          <w:rFonts w:hint="eastAsia" w:ascii="方正小标宋简体" w:hAnsi="宋体" w:eastAsia="方正小标宋简体" w:cs="黑体"/>
          <w:spacing w:val="2"/>
          <w:kern w:val="0"/>
          <w:sz w:val="40"/>
          <w:szCs w:val="44"/>
        </w:rPr>
        <w:t>团体标准编制说明</w:t>
      </w:r>
    </w:p>
    <w:p w14:paraId="7DB4393C">
      <w:pPr>
        <w:ind w:firstLine="640" w:firstLineChars="200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一、团体标准的制定背景</w:t>
      </w:r>
    </w:p>
    <w:p w14:paraId="5B5B2D68">
      <w:pPr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小麦是我国的主要粮食作物之一，其安全生产直接关系到国家粮食安全与农产品质量提升。黄淮海北部地区（包括北京市、天津市、河北省、山西省）是我国冬小麦的重要产区，该区域属于暖温带半湿润气候，光热资源丰富，但水资源紧张，季节降水不均，春季干旱与晚霜冻害频发，对小麦绿色生产提出更高要求。</w:t>
      </w:r>
    </w:p>
    <w:p w14:paraId="5FD789AF">
      <w:pPr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当前，我国绿色食品小麦产业持续快速发展，产品数量与产量逐年提升，市场竞争力不断增强。然而，在生产实践中，各产区生态条件、病虫害发生规律、种植管理模式差异显著，现有通用性技术规程难以完全适应黄淮海北部地区的实际生产需求，导致绿色生产技术落地存在“最后一公里”梗阻。</w:t>
      </w:r>
    </w:p>
    <w:p w14:paraId="340188E8">
      <w:pPr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为此，中国绿色食品发展中心联合天津市农业发展服务中心等单位，在系统总结该区域绿色食品小麦生产技术成果与实践经验的基础上，依据《绿色食品产地环境质量》（NY/T 391）、《绿色食品农药使用准则》（NY/T 393）、《绿色食品肥料使用准则》（NY/T 394）等相关标准，结合该区域气候特点、土壤条件、主要病虫草害发生规律，研究制定了《黄淮海北部地区绿色食品小麦生产操作规程》。本规程旨在为区域内绿色食品小麦生产提供标准化、可操作、可复制的技术指导，推动小麦产业绿色高质量发展，提升产品品质与市场信誉。</w:t>
      </w:r>
    </w:p>
    <w:p w14:paraId="190B0E54">
      <w:pPr>
        <w:ind w:firstLine="640" w:firstLineChars="200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二、团体标准的任务来源、起草单位、起草人</w:t>
      </w:r>
    </w:p>
    <w:p w14:paraId="4EAB7B56">
      <w:pPr>
        <w:ind w:firstLine="643" w:firstLineChars="200"/>
        <w:rPr>
          <w:rFonts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（一）任务来源</w:t>
      </w:r>
    </w:p>
    <w:p w14:paraId="672596DB">
      <w:pPr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为贯彻落实《“十四五”全国农业绿色发展规划》《农业农村部关于实施农产品“三品一标”四大行动的通知》等文件精神，健全现代农业全产业链标准体系，推动按标生产，中国绿色食品发展中心于2025年提出《黄淮海北部地区绿色食品小麦生产操作规程》团体标准的编制任务，并纳入2025-2026年团体标准制修订计划。</w:t>
      </w:r>
    </w:p>
    <w:p w14:paraId="5552A085">
      <w:pPr>
        <w:ind w:firstLine="643" w:firstLineChars="200"/>
        <w:rPr>
          <w:rFonts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（二）起草单位</w:t>
      </w:r>
    </w:p>
    <w:p w14:paraId="05017182">
      <w:pPr>
        <w:ind w:firstLine="640" w:firstLineChars="200"/>
        <w:rPr>
          <w:rFonts w:hint="eastAsia" w:ascii="仿宋_GB2312" w:hAnsi="黑体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  <w:lang w:val="en-US" w:eastAsia="zh-CN"/>
        </w:rPr>
        <w:t>*</w:t>
      </w:r>
    </w:p>
    <w:p w14:paraId="4BF9FF7F">
      <w:pPr>
        <w:ind w:firstLine="643" w:firstLineChars="200"/>
        <w:rPr>
          <w:rFonts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（三）主要起草人</w:t>
      </w:r>
    </w:p>
    <w:p w14:paraId="2FD23DCC">
      <w:pPr>
        <w:ind w:firstLine="640" w:firstLineChars="200"/>
        <w:rPr>
          <w:rFonts w:hint="eastAsia" w:ascii="仿宋_GB2312" w:hAnsi="黑体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  <w:lang w:val="en-US" w:eastAsia="zh-CN"/>
        </w:rPr>
        <w:t>*</w:t>
      </w:r>
      <w:bookmarkStart w:id="5" w:name="_GoBack"/>
      <w:bookmarkEnd w:id="5"/>
    </w:p>
    <w:p w14:paraId="6938B929">
      <w:pPr>
        <w:ind w:firstLine="640" w:firstLineChars="200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三、团体标准的编制情况</w:t>
      </w:r>
    </w:p>
    <w:p w14:paraId="1F294F5A">
      <w:pPr>
        <w:ind w:firstLine="643" w:firstLineChars="200"/>
        <w:rPr>
          <w:rFonts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（一）文献收集和调研</w:t>
      </w:r>
    </w:p>
    <w:p w14:paraId="23CA44FC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1.系统收集相关标准与政策文件</w:t>
      </w:r>
    </w:p>
    <w:p w14:paraId="2B576796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收集了《粮食作物种子 第1部分：禾谷类》（GB 4404.1）、《绿色食品 产地环境质量》（NY/T 391）、《绿色食品 农药使用准则》（NY/T 393）、《绿色食品 肥料使用准则》（NY/T 394）、《绿色食品 储藏运输准则》（NY/T 1056）、《绿色食品 包装通用准则》（NY/T 658）、《测土配方施肥技术规范》（NY/T 1118）等国家行业相关标准，以及《国家农作物优良品种推广目录（2025年）》、全国农业技术推广服务中心《小麦“一喷三防”技术指导意见》等最新政策技术文件，作为规程框架构建和基本原则确定的依据。</w:t>
      </w:r>
    </w:p>
    <w:p w14:paraId="45C8FCD0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2.研究参考了相关专项及地方技术规程，为标准关键技术条款的确定提供了重要的技术思路和区域化依据。</w:t>
      </w:r>
    </w:p>
    <w:p w14:paraId="6BF38607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研究了《中部麦区水地冬小麦栽培技术规程》（DB14/T 903-2025）等地方标准，为本规程中播种、肥水管理等核心农艺措施提供地域化参考；分析了《小麦土传病毒病防控技术规程》（NY/T 4071-2022）、《小麦白粉病防治技术规程》（DB14/T 887-2024）等标准，为本规程构建“病虫草害绿色防控”综合策略提供依据；参考了《节粮减损技术规范 第2部分：小麦》（NY/T 4460.2-2025）、《小麦粉储藏期间害虫防治技术规程》（T/HAS 152-2025）等技术规范，为本规程中收获后处理及仓储管理环节技术规范化提供支持。</w:t>
      </w:r>
    </w:p>
    <w:p w14:paraId="75E5EE8A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3.研读前沿研究文献</w:t>
      </w:r>
    </w:p>
    <w:p w14:paraId="262861F2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分析了《小麦赤霉病及其防治策略概况与展望》、《我国麦蚜抗药性及研究现状》等学术文献，跟踪主要病虫草害的发生规律与防治研究进展，确保规程中推荐的防治策略和用药建议具有科学性与前瞻性。</w:t>
      </w:r>
    </w:p>
    <w:p w14:paraId="4AB7CC6D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4.开展调研分析</w:t>
      </w:r>
    </w:p>
    <w:p w14:paraId="29D16F5E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通过对黄淮海北部地区小麦生产现状、气候土壤条件及主要病虫草害发生情况的调研与分析，总结提炼了该区域绿色食品小麦生产在品种选择、节水灌溉、生态调控等方面的关键技术环节与实践经验，使规程内容紧密贴合生产实际。</w:t>
      </w:r>
    </w:p>
    <w:p w14:paraId="5C893511">
      <w:pPr>
        <w:ind w:firstLine="643" w:firstLineChars="200"/>
        <w:rPr>
          <w:rFonts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（二）工作过程</w:t>
      </w:r>
    </w:p>
    <w:p w14:paraId="47678AF9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本团体标准的制定先后经历标准起草组成立、资料收集编写、标准研讨、公开征求意见、标准评审五个环节。</w:t>
      </w:r>
    </w:p>
    <w:p w14:paraId="553B511B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bookmarkStart w:id="0" w:name="OLE_LINK4"/>
      <w:bookmarkStart w:id="1" w:name="OLE_LINK10"/>
      <w:bookmarkStart w:id="2" w:name="OLE_LINK5"/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成立标准起草组，收集编写资料</w:t>
      </w:r>
    </w:p>
    <w:p w14:paraId="6686CF9E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2025年12月，由中国绿色食品发展中心、天津市农业发展服务中心、中国农业科学院作物科学研究所、河北省绿色食品发展中心等单位共同成立标准起草工作组，明确工作任务、分工与进度计划。标准起草工作组按照进度计划，开展了资料收集工作，收集了相关政策法规、现行有效标准制度以及小麦病虫害防治研究文献等相关技术资料。</w:t>
      </w:r>
      <w:bookmarkEnd w:id="0"/>
      <w:bookmarkEnd w:id="1"/>
      <w:bookmarkEnd w:id="2"/>
    </w:p>
    <w:p w14:paraId="6695C933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bookmarkStart w:id="3" w:name="OLE_LINK7"/>
      <w:bookmarkStart w:id="4" w:name="OLE_LINK6"/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2.深入调研</w:t>
      </w:r>
    </w:p>
    <w:p w14:paraId="3758EADD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2026年1月，标准起草工作组对收集来的相关政策法规、现有标准、生产技术进行系统研究，为标准起草奠定基础。</w:t>
      </w:r>
    </w:p>
    <w:p w14:paraId="5FB3C58E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3.标准起草</w:t>
      </w:r>
    </w:p>
    <w:p w14:paraId="146E46DB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2026年2月-3月，标准起草工作组在进行了充分细致的研究和资料分析总结的基础上，拟定标准框架与内容，形成初稿，经内部多次讨论修改，形成征求意见稿。</w:t>
      </w:r>
    </w:p>
    <w:p w14:paraId="7E28464B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4.征求意见</w:t>
      </w:r>
    </w:p>
    <w:p w14:paraId="685AF284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2026年4月，面向相关单位、专家及社会公开征求意见，进一步完善标准内容。</w:t>
      </w:r>
      <w:bookmarkEnd w:id="3"/>
      <w:bookmarkEnd w:id="4"/>
    </w:p>
    <w:p w14:paraId="248ABD1B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四、团体标准</w:t>
      </w:r>
      <w:r>
        <w:rPr>
          <w:rFonts w:hint="eastAsia" w:ascii="黑体" w:hAnsi="黑体" w:eastAsia="黑体"/>
          <w:sz w:val="32"/>
          <w:szCs w:val="32"/>
        </w:rPr>
        <w:t>的编制原则与主要内容</w:t>
      </w:r>
    </w:p>
    <w:p w14:paraId="65CAEA65">
      <w:pPr>
        <w:ind w:firstLine="643" w:firstLineChars="200"/>
        <w:rPr>
          <w:rFonts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（一）编制原则</w:t>
      </w:r>
    </w:p>
    <w:p w14:paraId="26A26C56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本标准严格按照GB/T 1.1-2020《标准化工作导则第1部分：标准化文件的结构和起草规则》的要求编制。</w:t>
      </w:r>
    </w:p>
    <w:p w14:paraId="6C9C1764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科学性原则。依据黄淮海北部地区生态特点与小麦生长发育规律，结合绿色食品生产要求，确定各项技术指标。</w:t>
      </w:r>
    </w:p>
    <w:p w14:paraId="0AAADAC2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实用性原则。注重规程的可操作性，内容覆盖产地环境、品种、整地、播种、田间管理、收获、贮藏、废弃物处理及档案管理等全过程。</w:t>
      </w:r>
    </w:p>
    <w:p w14:paraId="42BB4051">
      <w:pPr>
        <w:ind w:firstLine="640" w:firstLineChars="200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区域性原则。突出黄淮海北部地区水资源紧张、春季干旱、晚霜冻害多发等特点，制定针对性技术措施。</w:t>
      </w:r>
    </w:p>
    <w:p w14:paraId="52980894">
      <w:pPr>
        <w:spacing w:line="276" w:lineRule="auto"/>
        <w:ind w:firstLine="643" w:firstLineChars="200"/>
        <w:jc w:val="left"/>
        <w:rPr>
          <w:rFonts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（二）技术要求确定过程</w:t>
      </w:r>
    </w:p>
    <w:p w14:paraId="01A043F9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本规程中所有技术要求的确定，均遵循了“科学调研、对标分析、绿色融合、精准落地”的原则。以病虫草害防治措施为例，其确定过程如下：</w:t>
      </w:r>
    </w:p>
    <w:p w14:paraId="263E3900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1.主要防治对象的识别与确认</w:t>
      </w:r>
    </w:p>
    <w:p w14:paraId="1E83E7AC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标准起草工作组通过查阅全国农业技术推广服务中心近年来的《小麦重大病虫害防控技术方案》显示，黄淮海麦区病虫害总体偏重发生。结合北京市、天津市、河北省、山西省等地省级绿色食品工作机构及部分企业调研，明确本区域面临的核心威胁为：赤霉病（在黄淮南部有大流行风险）、茎基腐病和纹枯病（在黄淮麦区偏重发生），以及蚜虫（在黄淮海大部分地区偏重发生）。</w:t>
      </w:r>
    </w:p>
    <w:p w14:paraId="36C5FB79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基于此，规程将上述四种列为重点防控对象。同时，考虑到区域实际，将白粉病、条锈病列为需要兼顾的常发病虫害。</w:t>
      </w:r>
    </w:p>
    <w:p w14:paraId="2B6269AD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2.</w:t>
      </w:r>
      <w:r>
        <w:rPr>
          <w:rFonts w:hint="eastAsia"/>
        </w:rPr>
        <w:t xml:space="preserve"> </w:t>
      </w: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国家与行业现行防治措施调研</w:t>
      </w:r>
    </w:p>
    <w:p w14:paraId="6F55A585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起草工作组系统研究了国家和行业层面的防治策略，以构建本规程的技术基础。现行国家方案强调“预防为主、综合防治”，并采取分区施策、抓住关键时期进行统防统治。具体技术路径包括：普遍推行种子包衣以防治土传和苗期病虫害；在返青拔节期重点防治茎基腐病、纹枯病；在抽穗扬花期重点预防赤霉病；在灌浆期集成推广“一喷三防”技术，实现一次施药、防病治虫、防早衰、防干热风、增粒重的综合目标。在防治指标的确定上，本规程采取了分类施策的原则。对于纹枯病等病害，在参考常规科学指标（如病株率10%）以明确防治时机的同时，本规程的重点在于优化和提升了防治措施本身：即严格选用符合NY/T 393的农药（如井冈霉素），从而将通用性的防治指示，转化为更注重提供绿色、可操作的达标防治技术。而对于蚜虫等虫害，则未简单沿用常规生产的预警指标（如百株蚜量200头），而是基于绿色食品“减少化学农药用量”与“优先发挥生态调控作用”的核心原则，设定了更高的防治行动阈值（百株蚜量500头）。这一差异化的调整，旨在为农业、物理和生物防治措施留出充分的自然控害空间，仅在虫口密度确有必要时启动化学防治，从而实质性地减少农药使用。</w:t>
      </w:r>
    </w:p>
    <w:p w14:paraId="5B63924A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3.</w:t>
      </w:r>
      <w:r>
        <w:rPr>
          <w:rFonts w:hint="eastAsia"/>
        </w:rPr>
        <w:t xml:space="preserve"> </w:t>
      </w: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绿色食品生产要求的融入与提升</w:t>
      </w:r>
    </w:p>
    <w:p w14:paraId="1553E5C6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在遵循国家通用策略的基础上，本规程通过严格融入绿色食品的生产要求，实现了病虫害防治技术的系统化提升。具体体现在：首先调整了防治优先级，将“优先采用农业、物理和生物防治”作为强制性原则，明确化学农药仅作为补充手段；其次将各类绿色措施具体化，包括细化了抗病品种选用、适期晚播等农业措施，规范了杀虫灯与黄蓝板的使用，并规定了保护利用天敌及推荐使用合规生物制剂；最后对化学用药实施严格管控，要求所有农药必须符合NY/T 393标准，强调科学轮换用药并优先选用高效低风险药剂。</w:t>
      </w:r>
    </w:p>
    <w:p w14:paraId="5577979B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4.本规程技术要求的最终确定</w:t>
      </w:r>
    </w:p>
    <w:p w14:paraId="05772673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综合以上分析，本规程最终构建了一个分层、集成的绿色防控体系：在策略层面，确立了“预防为主，综合防治”的总方针，并强化了绿色措施的优先序；在技术层面，形成了从产前（通过抗病品种和种子包衣构建防线）到产中（集成应用农业、物理、生物措施，并科学辅以化学防治）的全链条管控，特别将“一喷三防”技术作为中后期核心，并严格限定使用药剂符合绿色标准；在指标层面，不仅采纳了科学的防治指标，更对各类绿色措施的操作细节进行了符合区域实际的量化规定。</w:t>
      </w:r>
    </w:p>
    <w:p w14:paraId="27913FB0">
      <w:pPr>
        <w:spacing w:line="276" w:lineRule="auto"/>
        <w:ind w:firstLine="643" w:firstLineChars="200"/>
        <w:jc w:val="left"/>
        <w:rPr>
          <w:rFonts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（三）主要内容</w:t>
      </w:r>
    </w:p>
    <w:p w14:paraId="487B5828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1.范围</w:t>
      </w:r>
    </w:p>
    <w:p w14:paraId="52034295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明确本规程适用于黄淮海北部地区绿色食品小麦的生产。</w:t>
      </w:r>
    </w:p>
    <w:p w14:paraId="132D13A5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2.规范性引用文件</w:t>
      </w:r>
    </w:p>
    <w:p w14:paraId="495F482E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列出标准引用的相关国家标准、行业标准。</w:t>
      </w:r>
    </w:p>
    <w:p w14:paraId="3B487443">
      <w:pPr>
        <w:spacing w:line="276" w:lineRule="auto"/>
        <w:ind w:firstLine="640" w:firstLineChars="200"/>
        <w:jc w:val="left"/>
        <w:rPr>
          <w:rFonts w:ascii="仿宋" w:hAnsi="仿宋" w:eastAsia="仿宋" w:cs="黑体"/>
          <w:spacing w:val="1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ascii="仿宋" w:hAnsi="仿宋" w:eastAsia="仿宋" w:cs="黑体"/>
          <w:spacing w:val="1"/>
          <w:sz w:val="32"/>
          <w:szCs w:val="32"/>
        </w:rPr>
        <w:t>术语和定义</w:t>
      </w:r>
    </w:p>
    <w:p w14:paraId="4B403EAB">
      <w:pPr>
        <w:spacing w:line="276" w:lineRule="auto"/>
        <w:ind w:firstLine="644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" w:hAnsi="仿宋" w:eastAsia="仿宋" w:cs="黑体"/>
          <w:spacing w:val="1"/>
          <w:sz w:val="32"/>
          <w:szCs w:val="32"/>
        </w:rPr>
        <w:t>对黄淮海北部地区</w:t>
      </w:r>
      <w:r>
        <w:rPr>
          <w:rFonts w:hint="eastAsia" w:ascii="仿宋" w:hAnsi="仿宋" w:eastAsia="仿宋" w:cs="黑体"/>
          <w:sz w:val="32"/>
          <w:szCs w:val="32"/>
        </w:rPr>
        <w:t>、“一喷三防”两个术语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做出清晰、明确的解释。</w:t>
      </w:r>
    </w:p>
    <w:p w14:paraId="72E8644A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4.产地环境</w:t>
      </w:r>
    </w:p>
    <w:p w14:paraId="0FECB912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规定产地应满足NY/T 391的要求，并明确该区域气候与土壤条件指标。</w:t>
      </w:r>
    </w:p>
    <w:p w14:paraId="2BE72F7F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5.品种选择</w:t>
      </w:r>
    </w:p>
    <w:p w14:paraId="1C5A35D9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推荐适宜该区域的优质、多抗、节水型小麦品种，明确种子质量与处理要求。</w:t>
      </w:r>
    </w:p>
    <w:p w14:paraId="62BF909E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6.整地与播种</w:t>
      </w:r>
    </w:p>
    <w:p w14:paraId="7368B803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规定前茬处理、耕作方式、播种期、播种量、播种方式及播后镇压等技术要点。</w:t>
      </w:r>
    </w:p>
    <w:p w14:paraId="154A20FB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7.田间管理</w:t>
      </w:r>
    </w:p>
    <w:p w14:paraId="28B5768B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包括灌溉、施肥、病虫草害绿色防控等措施，强调农业、物理、生物防治优先，科学合理使用化学防治。</w:t>
      </w:r>
    </w:p>
    <w:p w14:paraId="1869C498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8.收获、贮藏与废弃物处理</w:t>
      </w:r>
    </w:p>
    <w:p w14:paraId="0862D4A9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明确适宜收获期、贮藏条件、包装运输要求及生产废弃物回收处理方式。</w:t>
      </w:r>
    </w:p>
    <w:p w14:paraId="4AB4ABDA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9.生产档案管理</w:t>
      </w:r>
    </w:p>
    <w:p w14:paraId="1CEFD16B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要求建立全过程记录档案，保存不少于三年。</w:t>
      </w:r>
    </w:p>
    <w:p w14:paraId="79B02B25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10.附录</w:t>
      </w:r>
    </w:p>
    <w:p w14:paraId="6DD129E9">
      <w:pPr>
        <w:spacing w:line="276" w:lineRule="auto"/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  <w:r>
        <w:rPr>
          <w:rFonts w:hint="eastAsia" w:ascii="仿宋_GB2312" w:hAnsi="黑体" w:eastAsia="仿宋_GB2312" w:cs="Times New Roman"/>
          <w:kern w:val="0"/>
          <w:sz w:val="32"/>
          <w:szCs w:val="32"/>
        </w:rPr>
        <w:t>提供主要病虫草害化学防治推荐方案，包括防治时期、药剂、剂量、安全间隔期等。</w:t>
      </w:r>
    </w:p>
    <w:p w14:paraId="4733C913">
      <w:pPr>
        <w:spacing w:line="276" w:lineRule="auto"/>
        <w:ind w:firstLine="640" w:firstLineChars="200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五、采用国际标准和国外先进标准的程度，以及与国际、国外同类标准水平的对比情况</w:t>
      </w:r>
    </w:p>
    <w:p w14:paraId="544E8FE5">
      <w:pPr>
        <w:spacing w:line="276" w:lineRule="auto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本标准未直接采用国际或国外标准，但在绿色防控、生态农业等方面参考了国内外可持续农业的相关理念与实践。</w:t>
      </w:r>
    </w:p>
    <w:p w14:paraId="3BEED885">
      <w:pPr>
        <w:spacing w:line="276" w:lineRule="auto"/>
        <w:ind w:firstLine="640" w:firstLineChars="200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六、标准涉及的相关知识产权情况</w:t>
      </w:r>
    </w:p>
    <w:p w14:paraId="76272FDE">
      <w:pPr>
        <w:spacing w:line="276" w:lineRule="auto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    无。</w:t>
      </w:r>
    </w:p>
    <w:p w14:paraId="6144136B">
      <w:pPr>
        <w:spacing w:line="276" w:lineRule="auto"/>
        <w:ind w:firstLine="640" w:firstLineChars="200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七、采用国际标准的程度水平，与现行有关法律法规和强制性标准的关系</w:t>
      </w:r>
    </w:p>
    <w:p w14:paraId="1DD7886C">
      <w:pPr>
        <w:spacing w:line="276" w:lineRule="auto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    本标准符合《中华人民共和国农产品质量安全法》《绿色食品标志管理办法》等法律法规要求，与NY/T 391、NY/T 393、NY/T 394等绿色食品系列标准协调一致，不存在冲突。</w:t>
      </w:r>
    </w:p>
    <w:p w14:paraId="3866CEE8">
      <w:pPr>
        <w:spacing w:line="276" w:lineRule="auto"/>
        <w:ind w:firstLine="640" w:firstLineChars="200"/>
        <w:jc w:val="left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八、重大分歧意见的处理经过和依据</w:t>
      </w:r>
    </w:p>
    <w:p w14:paraId="2C9232F4">
      <w:pPr>
        <w:spacing w:line="276" w:lineRule="auto"/>
        <w:ind w:firstLine="640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在标准起草与讨论过程中，未出现重大分歧意见。</w:t>
      </w:r>
    </w:p>
    <w:p w14:paraId="0DC61D60">
      <w:pPr>
        <w:spacing w:line="276" w:lineRule="auto"/>
        <w:jc w:val="left"/>
        <w:rPr>
          <w:rFonts w:ascii="仿宋" w:hAnsi="仿宋" w:eastAsia="仿宋" w:cs="Times New Roman"/>
          <w:kern w:val="0"/>
          <w:sz w:val="32"/>
          <w:szCs w:val="32"/>
        </w:rPr>
      </w:pPr>
    </w:p>
    <w:p w14:paraId="2467A596">
      <w:pPr>
        <w:spacing w:line="276" w:lineRule="auto"/>
        <w:ind w:right="420"/>
        <w:jc w:val="righ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标准起草组</w:t>
      </w:r>
    </w:p>
    <w:p w14:paraId="618390FB">
      <w:pPr>
        <w:spacing w:line="276" w:lineRule="auto"/>
        <w:jc w:val="righ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2</w:t>
      </w:r>
      <w:r>
        <w:rPr>
          <w:rFonts w:ascii="仿宋" w:hAnsi="仿宋" w:eastAsia="仿宋" w:cs="Times New Roman"/>
          <w:kern w:val="0"/>
          <w:sz w:val="32"/>
          <w:szCs w:val="32"/>
        </w:rPr>
        <w:t>02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6年 3 月 25 日</w:t>
      </w:r>
    </w:p>
    <w:p w14:paraId="7BD44C20">
      <w:pPr>
        <w:ind w:firstLine="640" w:firstLineChars="200"/>
        <w:jc w:val="left"/>
        <w:rPr>
          <w:rFonts w:ascii="仿宋_GB2312" w:hAnsi="黑体" w:eastAsia="仿宋_GB2312" w:cs="Times New Roman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16C"/>
    <w:rsid w:val="000A0614"/>
    <w:rsid w:val="000E5DC9"/>
    <w:rsid w:val="00102650"/>
    <w:rsid w:val="0011432D"/>
    <w:rsid w:val="001A33E6"/>
    <w:rsid w:val="001C475B"/>
    <w:rsid w:val="002146CC"/>
    <w:rsid w:val="002273C9"/>
    <w:rsid w:val="00265AC6"/>
    <w:rsid w:val="00277F80"/>
    <w:rsid w:val="002F4CB9"/>
    <w:rsid w:val="003319B2"/>
    <w:rsid w:val="004F0D9A"/>
    <w:rsid w:val="0050093A"/>
    <w:rsid w:val="0052316C"/>
    <w:rsid w:val="00534B2F"/>
    <w:rsid w:val="0053560C"/>
    <w:rsid w:val="0057292C"/>
    <w:rsid w:val="005D75E8"/>
    <w:rsid w:val="005E2529"/>
    <w:rsid w:val="00605B93"/>
    <w:rsid w:val="00776BAC"/>
    <w:rsid w:val="007871C5"/>
    <w:rsid w:val="00795C77"/>
    <w:rsid w:val="007C5E61"/>
    <w:rsid w:val="00835838"/>
    <w:rsid w:val="00851F5D"/>
    <w:rsid w:val="00940287"/>
    <w:rsid w:val="00945EE0"/>
    <w:rsid w:val="00947A72"/>
    <w:rsid w:val="00955AED"/>
    <w:rsid w:val="00956F13"/>
    <w:rsid w:val="009B644E"/>
    <w:rsid w:val="00A06BAA"/>
    <w:rsid w:val="00A908A8"/>
    <w:rsid w:val="00AC3613"/>
    <w:rsid w:val="00AD1584"/>
    <w:rsid w:val="00B40C35"/>
    <w:rsid w:val="00BE0123"/>
    <w:rsid w:val="00BF4BAF"/>
    <w:rsid w:val="00C56C35"/>
    <w:rsid w:val="00C71576"/>
    <w:rsid w:val="00CF7D46"/>
    <w:rsid w:val="00D16CBD"/>
    <w:rsid w:val="00D7432E"/>
    <w:rsid w:val="00D82A59"/>
    <w:rsid w:val="00DB34B1"/>
    <w:rsid w:val="00E46AD2"/>
    <w:rsid w:val="00ED4B97"/>
    <w:rsid w:val="00F24DC0"/>
    <w:rsid w:val="2B991C14"/>
    <w:rsid w:val="32434475"/>
    <w:rsid w:val="51FB0B92"/>
    <w:rsid w:val="567C4B97"/>
    <w:rsid w:val="6AB871A0"/>
    <w:rsid w:val="7C6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4031</Words>
  <Characters>4244</Characters>
  <Lines>31</Lines>
  <Paragraphs>8</Paragraphs>
  <TotalTime>140</TotalTime>
  <ScaleCrop>false</ScaleCrop>
  <LinksUpToDate>false</LinksUpToDate>
  <CharactersWithSpaces>4291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2026-02-04T06:07:00Z</dcterms:created>
  <dc:creator>ZDS</dc:creator>
  <cp:lastModifiedBy>房正</cp:lastModifiedBy>
  <dcterms:modified xsi:type="dcterms:W3CDTF">2026-04-14T08:41:40Z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B7DFF37B093D4E25B0BB3B88DEFEB1C7_13</vt:lpwstr>
  </property>
  <property fmtid="{D5CDD505-2E9C-101B-9397-08002B2CF9AE}" pid="4" name="KSOTemplateDocerSaveRecord">
    <vt:lpwstr>eyJoZGlkIjoiMGUyOGZlMzdlZWEyMGFlYzc0ZWE1MGJlZjA4NmY3NTMiLCJ1c2VySWQiOiIyNzM3NDc2MDMifQ==</vt:lpwstr>
  </property>
</Properties>
</file>