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0E80F9">
      <w:pPr>
        <w:pStyle w:val="2"/>
        <w:jc w:val="center"/>
      </w:pPr>
      <w:r>
        <w:rPr>
          <w:rFonts w:hint="eastAsia"/>
          <w:lang w:eastAsia="zh-CN"/>
        </w:rPr>
        <w:t>《绿色食品</w:t>
      </w:r>
      <w:r>
        <w:rPr>
          <w:rFonts w:hint="eastAsia"/>
          <w:lang w:val="en-US" w:eastAsia="zh-CN"/>
        </w:rPr>
        <w:t xml:space="preserve"> 浙江湖南地区椪柑生产操作规程</w:t>
      </w:r>
      <w:r>
        <w:rPr>
          <w:rFonts w:hint="eastAsia"/>
          <w:lang w:eastAsia="zh-CN"/>
        </w:rPr>
        <w:t>》</w:t>
      </w:r>
      <w:r>
        <w:rPr>
          <w:rFonts w:hint="eastAsia"/>
        </w:rPr>
        <w:t>团体标准编制说明</w:t>
      </w:r>
    </w:p>
    <w:p w14:paraId="649D0BBF"/>
    <w:p w14:paraId="6EB95967">
      <w:pPr>
        <w:numPr>
          <w:ilvl w:val="0"/>
          <w:numId w:val="0"/>
        </w:numPr>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团体标准的制定背景</w:t>
      </w:r>
    </w:p>
    <w:p w14:paraId="1425923C">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我国作为全球最大</w:t>
      </w:r>
      <w:r>
        <w:rPr>
          <w:rFonts w:hint="eastAsia" w:ascii="仿宋" w:hAnsi="仿宋" w:eastAsia="仿宋" w:cs="仿宋"/>
          <w:sz w:val="32"/>
          <w:szCs w:val="32"/>
          <w:lang w:eastAsia="zh-CN"/>
        </w:rPr>
        <w:t>的</w:t>
      </w:r>
      <w:r>
        <w:rPr>
          <w:rFonts w:hint="eastAsia" w:ascii="仿宋" w:hAnsi="仿宋" w:eastAsia="仿宋" w:cs="仿宋"/>
          <w:sz w:val="32"/>
          <w:szCs w:val="32"/>
        </w:rPr>
        <w:t>柑橘生产国，</w:t>
      </w:r>
      <w:r>
        <w:rPr>
          <w:rFonts w:hint="eastAsia" w:ascii="仿宋" w:hAnsi="仿宋" w:eastAsia="仿宋" w:cs="仿宋"/>
          <w:sz w:val="32"/>
          <w:szCs w:val="32"/>
          <w:lang w:eastAsia="zh-CN"/>
        </w:rPr>
        <w:t>近年来总产量稳定在</w:t>
      </w:r>
      <w:r>
        <w:rPr>
          <w:rFonts w:hint="eastAsia" w:ascii="仿宋" w:hAnsi="仿宋" w:eastAsia="仿宋" w:cs="仿宋"/>
          <w:sz w:val="32"/>
          <w:szCs w:val="32"/>
          <w:lang w:val="en-US" w:eastAsia="zh-CN"/>
        </w:rPr>
        <w:t>6000万吨以上</w:t>
      </w:r>
      <w:r>
        <w:rPr>
          <w:rFonts w:hint="eastAsia" w:ascii="仿宋" w:hAnsi="仿宋" w:eastAsia="仿宋" w:cs="仿宋"/>
          <w:sz w:val="32"/>
          <w:szCs w:val="32"/>
        </w:rPr>
        <w:t>，种植面积</w:t>
      </w:r>
      <w:r>
        <w:rPr>
          <w:rFonts w:hint="eastAsia" w:ascii="仿宋" w:hAnsi="仿宋" w:eastAsia="仿宋" w:cs="仿宋"/>
          <w:sz w:val="32"/>
          <w:szCs w:val="32"/>
          <w:lang w:eastAsia="zh-CN"/>
        </w:rPr>
        <w:t>约</w:t>
      </w:r>
      <w:r>
        <w:rPr>
          <w:rFonts w:hint="eastAsia" w:ascii="仿宋" w:hAnsi="仿宋" w:eastAsia="仿宋" w:cs="仿宋"/>
          <w:sz w:val="32"/>
          <w:szCs w:val="32"/>
        </w:rPr>
        <w:t>4500万亩，主产区</w:t>
      </w:r>
      <w:r>
        <w:rPr>
          <w:rFonts w:hint="eastAsia" w:ascii="仿宋" w:hAnsi="仿宋" w:eastAsia="仿宋" w:cs="仿宋"/>
          <w:sz w:val="32"/>
          <w:szCs w:val="32"/>
          <w:lang w:eastAsia="zh-CN"/>
        </w:rPr>
        <w:t>集中于</w:t>
      </w:r>
      <w:r>
        <w:rPr>
          <w:rFonts w:hint="eastAsia" w:ascii="仿宋" w:hAnsi="仿宋" w:eastAsia="仿宋" w:cs="仿宋"/>
          <w:sz w:val="32"/>
          <w:szCs w:val="32"/>
        </w:rPr>
        <w:t>南方及长江流域，其中广西、湖南、湖北、四川、江西五省贡献</w:t>
      </w:r>
      <w:r>
        <w:rPr>
          <w:rFonts w:hint="eastAsia" w:ascii="仿宋" w:hAnsi="仿宋" w:eastAsia="仿宋" w:cs="仿宋"/>
          <w:sz w:val="32"/>
          <w:szCs w:val="32"/>
          <w:lang w:eastAsia="zh-CN"/>
        </w:rPr>
        <w:t>了</w:t>
      </w:r>
      <w:r>
        <w:rPr>
          <w:rFonts w:hint="eastAsia" w:ascii="仿宋" w:hAnsi="仿宋" w:eastAsia="仿宋" w:cs="仿宋"/>
          <w:sz w:val="32"/>
          <w:szCs w:val="32"/>
        </w:rPr>
        <w:t>全国约77%的产量。</w:t>
      </w:r>
      <w:r>
        <w:rPr>
          <w:rFonts w:hint="eastAsia" w:ascii="仿宋" w:hAnsi="仿宋" w:eastAsia="仿宋" w:cs="仿宋"/>
          <w:sz w:val="32"/>
          <w:szCs w:val="32"/>
          <w:lang w:eastAsia="zh-CN"/>
        </w:rPr>
        <w:t>椪柑是我国重要的柑橘品种之一，作为特色宽皮柑橘品种，在浙江、湖南等亚热带产区具有显著优势。浙江椪柑主产于衢州、丽水等地，以“衢州椪柑”为代表，果肉脆嫩、风味浓郁；湖南则以石门、慈利为核心的湘西北产区为主，是南</w:t>
      </w:r>
      <w:r>
        <w:rPr>
          <w:rFonts w:hint="eastAsia" w:ascii="仿宋" w:hAnsi="仿宋" w:eastAsia="仿宋" w:cs="仿宋"/>
          <w:sz w:val="32"/>
          <w:szCs w:val="32"/>
        </w:rPr>
        <w:t>方地区农民增收致富的重要经济作物。</w:t>
      </w:r>
      <w:r>
        <w:rPr>
          <w:rFonts w:hint="eastAsia" w:ascii="仿宋" w:hAnsi="仿宋" w:eastAsia="仿宋" w:cs="仿宋"/>
          <w:sz w:val="32"/>
          <w:szCs w:val="32"/>
          <w:lang w:eastAsia="zh-CN"/>
        </w:rPr>
        <w:t>我国是椪柑的原产国和全球最大的宽皮柑橘生产国，椪柑产业在支撑农业经济发展、保障鲜果市场供应、改善生态环境、推动绿色可持续发展等方面发挥着重要作用。</w:t>
      </w:r>
    </w:p>
    <w:p w14:paraId="0F55C32C">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椪柑生产中病虫害发生普遍，是制约果实品质、产量与效益的核心因素。主要病害有溃疡病、炭疽病、疮痂病等，虫害含柑橘全爪螨、潜叶蛾、柑橘粉蚧等，全生育期枝、叶、果均可受害。</w:t>
      </w:r>
      <w:r>
        <w:rPr>
          <w:rFonts w:hint="eastAsia" w:ascii="仿宋" w:hAnsi="仿宋" w:eastAsia="仿宋" w:cs="仿宋"/>
          <w:sz w:val="32"/>
          <w:szCs w:val="32"/>
          <w:lang w:val="zh-CN" w:eastAsia="zh-CN"/>
        </w:rPr>
        <w:t>当前生产中还</w:t>
      </w:r>
      <w:r>
        <w:rPr>
          <w:rFonts w:hint="eastAsia" w:ascii="仿宋" w:hAnsi="仿宋" w:eastAsia="仿宋" w:cs="仿宋"/>
          <w:sz w:val="32"/>
          <w:szCs w:val="32"/>
          <w:lang w:eastAsia="zh-CN"/>
        </w:rPr>
        <w:t>存在农药使用不规范、区域技术差异显著，过度依赖化学防治，绿色防控落地难，化肥配比失衡、有机肥不足，土壤酸化板结，关键环节标准化程度不高等问题。亟需制定区域化、精准化的标准化生产规程。</w:t>
      </w:r>
      <w:r>
        <w:rPr>
          <w:rFonts w:hint="eastAsia" w:ascii="仿宋" w:hAnsi="仿宋" w:eastAsia="仿宋" w:cs="仿宋"/>
          <w:sz w:val="32"/>
          <w:szCs w:val="32"/>
        </w:rPr>
        <w:t>为衔接绿色食品通用标准，解决区域生产痛点，统一生产技术规范，保障绿色食品</w:t>
      </w:r>
      <w:r>
        <w:rPr>
          <w:rFonts w:hint="eastAsia" w:ascii="仿宋" w:hAnsi="仿宋" w:eastAsia="仿宋" w:cs="仿宋"/>
          <w:sz w:val="32"/>
          <w:szCs w:val="32"/>
          <w:lang w:eastAsia="zh-CN"/>
        </w:rPr>
        <w:t>椪柑</w:t>
      </w:r>
      <w:r>
        <w:rPr>
          <w:rFonts w:hint="eastAsia" w:ascii="仿宋" w:hAnsi="仿宋" w:eastAsia="仿宋" w:cs="仿宋"/>
          <w:sz w:val="32"/>
          <w:szCs w:val="32"/>
        </w:rPr>
        <w:t>质量安全，提升果品品质与市场竞争力，助力农民增收和乡村振兴，特制定本团体标准，为浙江</w:t>
      </w:r>
      <w:r>
        <w:rPr>
          <w:rFonts w:hint="eastAsia" w:ascii="仿宋" w:hAnsi="仿宋" w:eastAsia="仿宋" w:cs="仿宋"/>
          <w:sz w:val="32"/>
          <w:szCs w:val="32"/>
          <w:lang w:eastAsia="zh-CN"/>
        </w:rPr>
        <w:t>、</w:t>
      </w:r>
      <w:r>
        <w:rPr>
          <w:rFonts w:hint="eastAsia" w:ascii="仿宋" w:hAnsi="仿宋" w:eastAsia="仿宋" w:cs="仿宋"/>
          <w:sz w:val="32"/>
          <w:szCs w:val="32"/>
        </w:rPr>
        <w:t>湖南地区椪柑产业向绿色化、标准化、优质化可持续发展提供技术指引。</w:t>
      </w:r>
    </w:p>
    <w:p w14:paraId="66BD1B1A">
      <w:pPr>
        <w:numPr>
          <w:ilvl w:val="0"/>
          <w:numId w:val="0"/>
        </w:numPr>
        <w:ind w:firstLine="640" w:firstLineChars="200"/>
        <w:rPr>
          <w:rFonts w:hint="eastAsia" w:ascii="黑体" w:hAnsi="黑体" w:eastAsia="黑体" w:cs="黑体"/>
          <w:sz w:val="32"/>
          <w:szCs w:val="32"/>
        </w:rPr>
      </w:pPr>
      <w:r>
        <w:rPr>
          <w:rFonts w:hint="eastAsia" w:ascii="黑体" w:hAnsi="黑体" w:eastAsia="黑体" w:cs="黑体"/>
          <w:sz w:val="32"/>
          <w:szCs w:val="32"/>
        </w:rPr>
        <w:t>二、团体标准的任务来源、起草单位、起草人</w:t>
      </w:r>
    </w:p>
    <w:p w14:paraId="1B3D8917">
      <w:pPr>
        <w:numPr>
          <w:ilvl w:val="0"/>
          <w:numId w:val="0"/>
        </w:numPr>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（一）任务来源</w:t>
      </w:r>
    </w:p>
    <w:p w14:paraId="44816459">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本团体标准任务源于国家农业高质量发展战略导向、相关政策文件要求与区域产业发展刚需，是落实国家农业标准化、绿色化发展部署的具体举措。党中央、国务院高度重视农业绿色化、标准化发展，《加快建设农业强国规划（2024－2035年）》明确提出“建立健全农产品品质评价和认证制度”</w:t>
      </w:r>
      <w:r>
        <w:rPr>
          <w:rFonts w:hint="eastAsia" w:ascii="仿宋" w:hAnsi="仿宋" w:eastAsia="仿宋" w:cs="仿宋"/>
          <w:sz w:val="32"/>
          <w:szCs w:val="32"/>
          <w:lang w:eastAsia="zh-CN"/>
        </w:rPr>
        <w:t>。</w:t>
      </w:r>
      <w:r>
        <w:rPr>
          <w:rFonts w:hint="eastAsia" w:ascii="仿宋" w:hAnsi="仿宋" w:eastAsia="仿宋" w:cs="仿宋"/>
          <w:sz w:val="32"/>
          <w:szCs w:val="32"/>
        </w:rPr>
        <w:t>《种植业“三品一标”提升行动实施方案(2022—2025年)》等文件要求聚焦优势产区，推进标准化种植，提升农产品质量安全水平。《农业农村部关于加快农业发展全面绿色转型促进乡村生态振兴的指导意见》（2024）要求"提升农业绿色发展水平"</w:t>
      </w:r>
      <w:r>
        <w:rPr>
          <w:rFonts w:hint="eastAsia" w:ascii="仿宋" w:hAnsi="仿宋" w:eastAsia="仿宋" w:cs="仿宋"/>
          <w:sz w:val="32"/>
          <w:szCs w:val="32"/>
          <w:lang w:eastAsia="zh-CN"/>
        </w:rPr>
        <w:t>。</w:t>
      </w:r>
      <w:r>
        <w:rPr>
          <w:rFonts w:hint="eastAsia" w:ascii="仿宋" w:hAnsi="仿宋" w:eastAsia="仿宋" w:cs="仿宋"/>
          <w:sz w:val="32"/>
          <w:szCs w:val="32"/>
        </w:rPr>
        <w:t>《水果优质化发展推进方案》（2025）要求进一步提升水果质量安全水平，增加优质水果供给，推动水果业向质量导向转型升级。结合我国椪柑产业产区差异显著、现行通用标准针对性不足的现状，顺畅衔接绿色食品相关产品技术标准，特确立本团体标准制定任务</w:t>
      </w:r>
      <w:r>
        <w:rPr>
          <w:rFonts w:hint="eastAsia" w:ascii="仿宋" w:hAnsi="仿宋" w:eastAsia="仿宋" w:cs="仿宋"/>
          <w:sz w:val="32"/>
          <w:szCs w:val="32"/>
          <w:lang w:eastAsia="zh-CN"/>
        </w:rPr>
        <w:t>，填补区域绿色食品椪柑生产规程空白，推动产业提质增效，助力农业高质量发展和乡村振兴。</w:t>
      </w:r>
    </w:p>
    <w:p w14:paraId="358BBE1C">
      <w:pPr>
        <w:numPr>
          <w:ilvl w:val="0"/>
          <w:numId w:val="0"/>
        </w:numPr>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（二）起草单位</w:t>
      </w:r>
    </w:p>
    <w:p w14:paraId="6A264DEF">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w:t>
      </w:r>
    </w:p>
    <w:p w14:paraId="68869C20">
      <w:pPr>
        <w:numPr>
          <w:ilvl w:val="0"/>
          <w:numId w:val="0"/>
        </w:numPr>
        <w:ind w:firstLine="643" w:firstLineChars="200"/>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（三）主要起草人</w:t>
      </w:r>
    </w:p>
    <w:p w14:paraId="44B90771">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w:t>
      </w:r>
      <w:bookmarkStart w:id="0" w:name="_GoBack"/>
      <w:bookmarkEnd w:id="0"/>
    </w:p>
    <w:p w14:paraId="13A9730E">
      <w:pPr>
        <w:numPr>
          <w:ilvl w:val="0"/>
          <w:numId w:val="0"/>
        </w:numPr>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三、团体标准的编制情况</w:t>
      </w:r>
    </w:p>
    <w:p w14:paraId="3F99D96A">
      <w:pPr>
        <w:numPr>
          <w:ilvl w:val="0"/>
          <w:numId w:val="0"/>
        </w:numPr>
        <w:ind w:firstLine="643" w:firstLineChars="200"/>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（一）文献收集和调研</w:t>
      </w:r>
    </w:p>
    <w:p w14:paraId="07B171E0">
      <w:pPr>
        <w:numPr>
          <w:ilvl w:val="0"/>
          <w:numId w:val="0"/>
        </w:numPr>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1.查阅了</w:t>
      </w:r>
      <w:r>
        <w:rPr>
          <w:rFonts w:hint="eastAsia" w:ascii="仿宋" w:hAnsi="仿宋" w:eastAsia="仿宋" w:cs="仿宋"/>
          <w:sz w:val="32"/>
          <w:szCs w:val="32"/>
          <w:highlight w:val="none"/>
          <w:lang w:val="en-US" w:eastAsia="zh-CN"/>
        </w:rPr>
        <w:t>《鲜柑橘》《柑橘栽培技术规程》《衢州椪柑生产技术规程》《石门柑橘生产技术规程》《柑橘嫁接苗繁育技术规程》</w:t>
      </w:r>
      <w:r>
        <w:rPr>
          <w:rFonts w:hint="eastAsia" w:ascii="仿宋" w:hAnsi="仿宋" w:eastAsia="仿宋" w:cs="仿宋"/>
          <w:sz w:val="32"/>
          <w:szCs w:val="32"/>
          <w:highlight w:val="none"/>
          <w:lang w:eastAsia="zh-CN"/>
        </w:rPr>
        <w:t>等国家标准、农业行业标准以及相关参考文献。</w:t>
      </w:r>
    </w:p>
    <w:p w14:paraId="51D678A7">
      <w:pPr>
        <w:numPr>
          <w:ilvl w:val="0"/>
          <w:numId w:val="0"/>
        </w:numPr>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2.对</w:t>
      </w:r>
      <w:r>
        <w:rPr>
          <w:rFonts w:hint="eastAsia" w:ascii="仿宋" w:hAnsi="仿宋" w:eastAsia="仿宋" w:cs="仿宋"/>
          <w:sz w:val="32"/>
          <w:szCs w:val="32"/>
          <w:highlight w:val="none"/>
          <w:lang w:val="en-US" w:eastAsia="zh-CN"/>
        </w:rPr>
        <w:t>《绿色食品 柑橘生产技术规程》</w:t>
      </w:r>
      <w:r>
        <w:rPr>
          <w:rFonts w:hint="eastAsia" w:ascii="仿宋" w:hAnsi="仿宋" w:eastAsia="仿宋" w:cs="仿宋"/>
          <w:sz w:val="32"/>
          <w:szCs w:val="32"/>
          <w:highlight w:val="none"/>
          <w:lang w:eastAsia="zh-CN"/>
        </w:rPr>
        <w:t>《绿色食品产地环境质量》《绿色食品包装通用准则》《绿色食品储藏运输准则》等绿色食品技术标准进行分类研究。</w:t>
      </w:r>
    </w:p>
    <w:p w14:paraId="14AD44FA">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3.对浙江、湖南地区椪柑生产的气候条件、土壤特性、品种布局、栽培模式、病虫害发生规律等信息进行系统调研和分析。</w:t>
      </w:r>
    </w:p>
    <w:p w14:paraId="3BAFCCE5">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4.对椪柑种植生产过程关键控制点对椪柑质量的影响进行研究分析。</w:t>
      </w:r>
    </w:p>
    <w:p w14:paraId="798A2E91">
      <w:pPr>
        <w:numPr>
          <w:ilvl w:val="0"/>
          <w:numId w:val="0"/>
        </w:numPr>
        <w:ind w:firstLine="643" w:firstLineChars="200"/>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（二）工作过程</w:t>
      </w:r>
    </w:p>
    <w:p w14:paraId="4CB6EE21">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本团体标准的制定经过成立起草工作组、调研收集资料、标准研讨编写、公开征求意见、标准评审五个环节。</w:t>
      </w:r>
    </w:p>
    <w:p w14:paraId="5820D907">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1.2025年</w:t>
      </w:r>
      <w:r>
        <w:rPr>
          <w:rFonts w:hint="eastAsia" w:ascii="仿宋" w:hAnsi="仿宋" w:eastAsia="仿宋" w:cs="仿宋"/>
          <w:sz w:val="32"/>
          <w:szCs w:val="32"/>
          <w:lang w:val="en-US" w:eastAsia="zh-CN"/>
        </w:rPr>
        <w:t>12</w:t>
      </w:r>
      <w:r>
        <w:rPr>
          <w:rFonts w:hint="eastAsia" w:ascii="仿宋" w:hAnsi="仿宋" w:eastAsia="仿宋" w:cs="仿宋"/>
          <w:sz w:val="32"/>
          <w:szCs w:val="32"/>
          <w:lang w:eastAsia="zh-CN"/>
        </w:rPr>
        <w:t>月，成立标准起草工作组。由中国绿色食品发展中心、浙江省农产品绿色发展中心、湖南省绿色食品办公室等单位共同成立标准起草工作组，明确了工作内容、工作组成员、任务分工和进度计划。</w:t>
      </w:r>
    </w:p>
    <w:p w14:paraId="009B884B">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2.202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年1月-2月，开展专题调研。工作组赴浙江、湖南等椪柑主产区，实地调研生产现状、技术需求和突出问题，收集生产实践数据和典型案例。</w:t>
      </w:r>
    </w:p>
    <w:p w14:paraId="64E308E3">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3.2026年</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月-</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月，标准研讨编写。结合调研结果和文献资料，召开专题研讨会，重点研讨标准框架、技术指标设定、区域差异化措施等内容，形成标准初稿。</w:t>
      </w:r>
    </w:p>
    <w:p w14:paraId="20A65728">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4.2026年4月-5月，征求意见，完善标准文稿。完成团标文稿初审，完善绿色食品标准及规范性要求等；5月发起专家评估会议，综合专家评估意见，修改标准文本，形成送审稿。</w:t>
      </w:r>
    </w:p>
    <w:p w14:paraId="3514A2C1">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5.2026年6月，公开征求意见，修改标准文本，形成送审稿。</w:t>
      </w:r>
    </w:p>
    <w:p w14:paraId="63742ACC">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中国绿色食品协会在协会官网、全国团体标准信息平台公开《绿色食品</w:t>
      </w:r>
      <w:r>
        <w:rPr>
          <w:rFonts w:hint="eastAsia" w:ascii="仿宋" w:hAnsi="仿宋" w:eastAsia="仿宋" w:cs="仿宋"/>
          <w:sz w:val="32"/>
          <w:szCs w:val="32"/>
          <w:lang w:val="en-US" w:eastAsia="zh-CN"/>
        </w:rPr>
        <w:t xml:space="preserve"> 浙江湖南地区椪柑生产操作规程</w:t>
      </w:r>
      <w:r>
        <w:rPr>
          <w:rFonts w:hint="eastAsia" w:ascii="仿宋" w:hAnsi="仿宋" w:eastAsia="仿宋" w:cs="仿宋"/>
          <w:sz w:val="32"/>
          <w:szCs w:val="32"/>
          <w:lang w:eastAsia="zh-CN"/>
        </w:rPr>
        <w:t>》。</w:t>
      </w:r>
    </w:p>
    <w:p w14:paraId="42647387">
      <w:pPr>
        <w:numPr>
          <w:ilvl w:val="0"/>
          <w:numId w:val="0"/>
        </w:numPr>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四、团体标准的编制原则与主要内容</w:t>
      </w:r>
    </w:p>
    <w:p w14:paraId="527BDFF5">
      <w:pPr>
        <w:numPr>
          <w:ilvl w:val="0"/>
          <w:numId w:val="0"/>
        </w:numPr>
        <w:ind w:firstLine="643" w:firstLineChars="200"/>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（一）编制原则</w:t>
      </w:r>
    </w:p>
    <w:p w14:paraId="0ABA737B">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本标准严格按照GB/T 1.1-2020《标准化工作导则 第1部分：标准化文件的结构和起草规则》的要求编制。</w:t>
      </w:r>
    </w:p>
    <w:p w14:paraId="1314EF41">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必要性原则：标准编写过程中坚持必要性原则，文件中绿色食品椪柑生产涉及的专有名词在术语和定义部分给出具体解释，不增添不必要的术语和技术要求。</w:t>
      </w:r>
    </w:p>
    <w:p w14:paraId="03D09801">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highlight w:val="none"/>
          <w:lang w:eastAsia="zh-CN"/>
        </w:rPr>
        <w:t>适用性原则：标准编制过程中坚持适用性原则，结合椪柑生产过程关键控制点，包含</w:t>
      </w:r>
      <w:r>
        <w:rPr>
          <w:rFonts w:hint="eastAsia" w:ascii="仿宋" w:hAnsi="仿宋" w:eastAsia="仿宋" w:cs="仿宋"/>
          <w:sz w:val="32"/>
          <w:szCs w:val="32"/>
          <w:lang w:eastAsia="zh-CN"/>
        </w:rPr>
        <w:t>园地要求、品种选择、栽植、田间管理、采收、包装与储藏、生产废弃物的处理和生产档案管理。</w:t>
      </w:r>
    </w:p>
    <w:p w14:paraId="1533A1B8">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科学性原则：依据科学试验数据、田间生产实践和病虫害防治效果，确定绿色食品椪柑生产的关键技术参数，同时关注绿色投入品和生态栽培技术的最新发展，确保标准的科学性和先进性。</w:t>
      </w:r>
    </w:p>
    <w:p w14:paraId="456B6BF4">
      <w:pPr>
        <w:numPr>
          <w:ilvl w:val="0"/>
          <w:numId w:val="0"/>
        </w:numPr>
        <w:ind w:firstLine="643" w:firstLineChars="200"/>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（二）主要内容</w:t>
      </w:r>
    </w:p>
    <w:p w14:paraId="4BC5E45D">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1.范围</w:t>
      </w:r>
    </w:p>
    <w:p w14:paraId="244B7168">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本标准规定了浙江湖南地区绿色食品椪柑生产的园地要求、品种选择、栽植、田间管理、采收、包装与储藏、生产废弃物的处理和生产档案管理。本标准适用于浙江和湖南绿色食品椪柑生产。</w:t>
      </w:r>
    </w:p>
    <w:p w14:paraId="6A3D01E4">
      <w:pPr>
        <w:numPr>
          <w:ilvl w:val="0"/>
          <w:numId w:val="0"/>
        </w:numPr>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2.规范性引用文件</w:t>
      </w:r>
    </w:p>
    <w:p w14:paraId="417E7A65">
      <w:pPr>
        <w:numPr>
          <w:ilvl w:val="0"/>
          <w:numId w:val="0"/>
        </w:numPr>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主要涉及必须引用的国家标准、行业标准。</w:t>
      </w:r>
    </w:p>
    <w:p w14:paraId="1E431EDB">
      <w:pPr>
        <w:numPr>
          <w:ilvl w:val="0"/>
          <w:numId w:val="0"/>
        </w:numPr>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3.技术规程原则</w:t>
      </w:r>
    </w:p>
    <w:p w14:paraId="1003783A">
      <w:pPr>
        <w:numPr>
          <w:ilvl w:val="0"/>
          <w:numId w:val="0"/>
        </w:numPr>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技术规程过程遵循适用性原则、协同一致原则、产品安全原则。</w:t>
      </w:r>
    </w:p>
    <w:p w14:paraId="51609F3F">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4.技术规程主要内容</w:t>
      </w:r>
    </w:p>
    <w:p w14:paraId="423DC8B6">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技术规程对园地要求、品种选择、栽植、田间管理、采收、包装与储藏、生产废弃物的处理和生产档案管理等</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个椪柑种植生产过程关键控制点进行了明确的标准要求。</w:t>
      </w:r>
    </w:p>
    <w:p w14:paraId="7BBB7D19">
      <w:pPr>
        <w:numPr>
          <w:ilvl w:val="0"/>
          <w:numId w:val="0"/>
        </w:numPr>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5.标准附录</w:t>
      </w:r>
    </w:p>
    <w:p w14:paraId="4562BD08">
      <w:pPr>
        <w:numPr>
          <w:ilvl w:val="0"/>
          <w:numId w:val="0"/>
        </w:numPr>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根据浙江、湖南地区绿色食品椪柑生产过程中主要病虫害防治需求，附录《浙江湖南  绿色食品椪柑生产主要病虫害防治推荐农药使用方案》。</w:t>
      </w:r>
    </w:p>
    <w:p w14:paraId="00EDD5DE">
      <w:pPr>
        <w:numPr>
          <w:ilvl w:val="0"/>
          <w:numId w:val="0"/>
        </w:numPr>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五、采用国际标准和国外先进标准的程度，以及与国际、国外同类标准水平的对比情况</w:t>
      </w:r>
    </w:p>
    <w:p w14:paraId="14D32160">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本标准不涉及国际国外同类标准采标情况。</w:t>
      </w:r>
    </w:p>
    <w:p w14:paraId="321FB7AC">
      <w:pPr>
        <w:numPr>
          <w:ilvl w:val="0"/>
          <w:numId w:val="0"/>
        </w:numPr>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六、标准涉及的相关知识产权情况</w:t>
      </w:r>
    </w:p>
    <w:p w14:paraId="4B2B11A7">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无。</w:t>
      </w:r>
    </w:p>
    <w:p w14:paraId="3E173C62">
      <w:pPr>
        <w:numPr>
          <w:ilvl w:val="0"/>
          <w:numId w:val="0"/>
        </w:numPr>
        <w:ind w:firstLine="640" w:firstLineChars="200"/>
        <w:rPr>
          <w:rFonts w:hint="eastAsia" w:ascii="仿宋" w:hAnsi="仿宋" w:eastAsia="仿宋" w:cs="仿宋"/>
          <w:sz w:val="32"/>
          <w:szCs w:val="32"/>
          <w:lang w:eastAsia="zh-CN"/>
        </w:rPr>
      </w:pPr>
      <w:r>
        <w:rPr>
          <w:rFonts w:hint="eastAsia" w:ascii="黑体" w:hAnsi="黑体" w:eastAsia="黑体" w:cs="黑体"/>
          <w:sz w:val="32"/>
          <w:szCs w:val="32"/>
          <w:lang w:eastAsia="zh-CN"/>
        </w:rPr>
        <w:t>七、与现行有关法律法规和强制性标准的关系</w:t>
      </w:r>
    </w:p>
    <w:p w14:paraId="60EF8B7A">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无。</w:t>
      </w:r>
    </w:p>
    <w:p w14:paraId="3DFC6C67">
      <w:pPr>
        <w:numPr>
          <w:ilvl w:val="0"/>
          <w:numId w:val="0"/>
        </w:numPr>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八、重大分歧意见的处理经过和依据</w:t>
      </w:r>
    </w:p>
    <w:p w14:paraId="58E2CA58">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无。</w:t>
      </w:r>
    </w:p>
    <w:p w14:paraId="088D03B9">
      <w:pPr>
        <w:numPr>
          <w:ilvl w:val="0"/>
          <w:numId w:val="0"/>
        </w:numPr>
        <w:ind w:firstLine="640" w:firstLineChars="200"/>
        <w:rPr>
          <w:rFonts w:hint="eastAsia" w:ascii="仿宋" w:hAnsi="仿宋" w:eastAsia="仿宋" w:cs="仿宋"/>
          <w:sz w:val="32"/>
          <w:szCs w:val="32"/>
          <w:lang w:eastAsia="zh-CN"/>
        </w:rPr>
      </w:pPr>
    </w:p>
    <w:p w14:paraId="4254616D">
      <w:pPr>
        <w:numPr>
          <w:ilvl w:val="0"/>
          <w:numId w:val="0"/>
        </w:numPr>
        <w:ind w:firstLine="640" w:firstLineChars="200"/>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标准起草组</w:t>
      </w:r>
    </w:p>
    <w:p w14:paraId="4EB4E926">
      <w:pPr>
        <w:numPr>
          <w:ilvl w:val="0"/>
          <w:numId w:val="0"/>
        </w:numPr>
        <w:ind w:leftChars="0"/>
        <w:jc w:val="right"/>
        <w:rPr>
          <w:rFonts w:hint="eastAsia" w:ascii="仿宋" w:hAnsi="仿宋" w:eastAsia="仿宋" w:cs="仿宋"/>
          <w:sz w:val="32"/>
          <w:szCs w:val="32"/>
          <w:lang w:eastAsia="zh-CN"/>
        </w:rPr>
      </w:pPr>
      <w:r>
        <w:rPr>
          <w:rFonts w:hint="eastAsia" w:ascii="仿宋" w:hAnsi="仿宋" w:eastAsia="仿宋" w:cs="仿宋"/>
          <w:sz w:val="32"/>
          <w:szCs w:val="32"/>
          <w:lang w:eastAsia="zh-CN"/>
        </w:rPr>
        <w:t>2026年3月20日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25BF7"/>
    <w:multiLevelType w:val="multilevel"/>
    <w:tmpl w:val="4DC25BF7"/>
    <w:lvl w:ilvl="0" w:tentative="0">
      <w:start w:val="1"/>
      <w:numFmt w:val="decimal"/>
      <w:pStyle w:val="15"/>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6745"/>
    <w:rsid w:val="00010B81"/>
    <w:rsid w:val="00011185"/>
    <w:rsid w:val="00027E7D"/>
    <w:rsid w:val="000365CB"/>
    <w:rsid w:val="000631E1"/>
    <w:rsid w:val="00064F16"/>
    <w:rsid w:val="000851AE"/>
    <w:rsid w:val="0009469E"/>
    <w:rsid w:val="000C1623"/>
    <w:rsid w:val="00111057"/>
    <w:rsid w:val="00122ED8"/>
    <w:rsid w:val="001238FA"/>
    <w:rsid w:val="001A4029"/>
    <w:rsid w:val="002067B1"/>
    <w:rsid w:val="00230740"/>
    <w:rsid w:val="002312ED"/>
    <w:rsid w:val="00262942"/>
    <w:rsid w:val="002776F5"/>
    <w:rsid w:val="0028680D"/>
    <w:rsid w:val="002B020B"/>
    <w:rsid w:val="002E0CE2"/>
    <w:rsid w:val="002F1CE2"/>
    <w:rsid w:val="00301F0D"/>
    <w:rsid w:val="0031409C"/>
    <w:rsid w:val="00324047"/>
    <w:rsid w:val="003321F9"/>
    <w:rsid w:val="003333EC"/>
    <w:rsid w:val="0033380B"/>
    <w:rsid w:val="00356D32"/>
    <w:rsid w:val="0036602F"/>
    <w:rsid w:val="003B5BA9"/>
    <w:rsid w:val="003F0ACC"/>
    <w:rsid w:val="003F4456"/>
    <w:rsid w:val="0041063F"/>
    <w:rsid w:val="0041734B"/>
    <w:rsid w:val="00457876"/>
    <w:rsid w:val="00462A6A"/>
    <w:rsid w:val="004C17B3"/>
    <w:rsid w:val="004F0047"/>
    <w:rsid w:val="004F4BBA"/>
    <w:rsid w:val="004F6592"/>
    <w:rsid w:val="004F68D8"/>
    <w:rsid w:val="00500BAA"/>
    <w:rsid w:val="00507AC8"/>
    <w:rsid w:val="00513946"/>
    <w:rsid w:val="00527EAD"/>
    <w:rsid w:val="0053147A"/>
    <w:rsid w:val="0054620C"/>
    <w:rsid w:val="00553C29"/>
    <w:rsid w:val="00581230"/>
    <w:rsid w:val="0058694F"/>
    <w:rsid w:val="00587201"/>
    <w:rsid w:val="005A31E3"/>
    <w:rsid w:val="005D7F91"/>
    <w:rsid w:val="00616618"/>
    <w:rsid w:val="00616824"/>
    <w:rsid w:val="00672905"/>
    <w:rsid w:val="006729A3"/>
    <w:rsid w:val="00684CB3"/>
    <w:rsid w:val="006A4089"/>
    <w:rsid w:val="007026B4"/>
    <w:rsid w:val="0072625F"/>
    <w:rsid w:val="00744ACC"/>
    <w:rsid w:val="0075168C"/>
    <w:rsid w:val="007625F4"/>
    <w:rsid w:val="0076461E"/>
    <w:rsid w:val="00787233"/>
    <w:rsid w:val="00792026"/>
    <w:rsid w:val="00796D01"/>
    <w:rsid w:val="007A05E1"/>
    <w:rsid w:val="007A37C0"/>
    <w:rsid w:val="007C482C"/>
    <w:rsid w:val="007C5AEB"/>
    <w:rsid w:val="007E1885"/>
    <w:rsid w:val="00800C51"/>
    <w:rsid w:val="0083134A"/>
    <w:rsid w:val="008521BE"/>
    <w:rsid w:val="008522F4"/>
    <w:rsid w:val="00860496"/>
    <w:rsid w:val="00882CB0"/>
    <w:rsid w:val="008E1763"/>
    <w:rsid w:val="00914735"/>
    <w:rsid w:val="00935A29"/>
    <w:rsid w:val="00977D8D"/>
    <w:rsid w:val="009B0239"/>
    <w:rsid w:val="009B4169"/>
    <w:rsid w:val="009C2BD2"/>
    <w:rsid w:val="009C398D"/>
    <w:rsid w:val="009C7869"/>
    <w:rsid w:val="00A015E0"/>
    <w:rsid w:val="00A136AE"/>
    <w:rsid w:val="00A34EFE"/>
    <w:rsid w:val="00A7224C"/>
    <w:rsid w:val="00A942C5"/>
    <w:rsid w:val="00AE26CA"/>
    <w:rsid w:val="00B35D7C"/>
    <w:rsid w:val="00B408F2"/>
    <w:rsid w:val="00B4110D"/>
    <w:rsid w:val="00B95114"/>
    <w:rsid w:val="00BA1914"/>
    <w:rsid w:val="00BA1995"/>
    <w:rsid w:val="00BB407E"/>
    <w:rsid w:val="00BE32DF"/>
    <w:rsid w:val="00BF7ADE"/>
    <w:rsid w:val="00C47403"/>
    <w:rsid w:val="00C51AE6"/>
    <w:rsid w:val="00C752C5"/>
    <w:rsid w:val="00CB628D"/>
    <w:rsid w:val="00CB66A8"/>
    <w:rsid w:val="00CE15CB"/>
    <w:rsid w:val="00D002C9"/>
    <w:rsid w:val="00D019B9"/>
    <w:rsid w:val="00D21967"/>
    <w:rsid w:val="00D269D9"/>
    <w:rsid w:val="00D36024"/>
    <w:rsid w:val="00D53515"/>
    <w:rsid w:val="00D876D7"/>
    <w:rsid w:val="00D96146"/>
    <w:rsid w:val="00DD27A0"/>
    <w:rsid w:val="00DD75F8"/>
    <w:rsid w:val="00E02C85"/>
    <w:rsid w:val="00E06B07"/>
    <w:rsid w:val="00E102A1"/>
    <w:rsid w:val="00E800D0"/>
    <w:rsid w:val="00F02049"/>
    <w:rsid w:val="00F268EF"/>
    <w:rsid w:val="00F664C4"/>
    <w:rsid w:val="00FA2AA7"/>
    <w:rsid w:val="00FB2BFB"/>
    <w:rsid w:val="00FE08FB"/>
    <w:rsid w:val="00FE32C0"/>
    <w:rsid w:val="00FE3E29"/>
    <w:rsid w:val="01B6046E"/>
    <w:rsid w:val="02792173"/>
    <w:rsid w:val="03100052"/>
    <w:rsid w:val="038A1BB2"/>
    <w:rsid w:val="077F6CA7"/>
    <w:rsid w:val="082461A1"/>
    <w:rsid w:val="0A0D12C8"/>
    <w:rsid w:val="0AFF1058"/>
    <w:rsid w:val="0B8E5FB8"/>
    <w:rsid w:val="0CEB10AA"/>
    <w:rsid w:val="0DCB52A1"/>
    <w:rsid w:val="0EC83FC8"/>
    <w:rsid w:val="11E6286A"/>
    <w:rsid w:val="123A29F6"/>
    <w:rsid w:val="176D73C9"/>
    <w:rsid w:val="17B217D1"/>
    <w:rsid w:val="17FA01C0"/>
    <w:rsid w:val="183A72AB"/>
    <w:rsid w:val="18B22FC2"/>
    <w:rsid w:val="19AC5F87"/>
    <w:rsid w:val="1DE41B8C"/>
    <w:rsid w:val="1F2667DB"/>
    <w:rsid w:val="1F912EB1"/>
    <w:rsid w:val="1FC83753"/>
    <w:rsid w:val="2020147D"/>
    <w:rsid w:val="2079293B"/>
    <w:rsid w:val="238C0BD7"/>
    <w:rsid w:val="2435378F"/>
    <w:rsid w:val="261455E0"/>
    <w:rsid w:val="279F537D"/>
    <w:rsid w:val="292A6EC8"/>
    <w:rsid w:val="29C410CB"/>
    <w:rsid w:val="2AF459E0"/>
    <w:rsid w:val="2C666469"/>
    <w:rsid w:val="2F005429"/>
    <w:rsid w:val="33D75E9F"/>
    <w:rsid w:val="347B0F20"/>
    <w:rsid w:val="36535108"/>
    <w:rsid w:val="388303A3"/>
    <w:rsid w:val="38F90665"/>
    <w:rsid w:val="3AB1520C"/>
    <w:rsid w:val="3F52193C"/>
    <w:rsid w:val="446773B2"/>
    <w:rsid w:val="45406FD3"/>
    <w:rsid w:val="4AC42881"/>
    <w:rsid w:val="4CD46988"/>
    <w:rsid w:val="4FAE58AE"/>
    <w:rsid w:val="50172FCE"/>
    <w:rsid w:val="520003B7"/>
    <w:rsid w:val="53F51CFD"/>
    <w:rsid w:val="549F7EBB"/>
    <w:rsid w:val="57355A2F"/>
    <w:rsid w:val="5D6E7CFB"/>
    <w:rsid w:val="5E940365"/>
    <w:rsid w:val="616B1851"/>
    <w:rsid w:val="625A563D"/>
    <w:rsid w:val="64124205"/>
    <w:rsid w:val="647D4D4F"/>
    <w:rsid w:val="67420A75"/>
    <w:rsid w:val="6AB204F0"/>
    <w:rsid w:val="6B086362"/>
    <w:rsid w:val="6CA64085"/>
    <w:rsid w:val="6DE5298B"/>
    <w:rsid w:val="6E9C74ED"/>
    <w:rsid w:val="706C2EEF"/>
    <w:rsid w:val="733817AF"/>
    <w:rsid w:val="7564688B"/>
    <w:rsid w:val="759B296E"/>
    <w:rsid w:val="761E6A3A"/>
    <w:rsid w:val="772D118B"/>
    <w:rsid w:val="781520BE"/>
    <w:rsid w:val="78F87A16"/>
    <w:rsid w:val="79280397"/>
    <w:rsid w:val="7B51165F"/>
    <w:rsid w:val="7EA13D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semiHidden/>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Indent"/>
    <w:basedOn w:val="1"/>
    <w:link w:val="16"/>
    <w:semiHidden/>
    <w:unhideWhenUsed/>
    <w:qFormat/>
    <w:uiPriority w:val="99"/>
    <w:pPr>
      <w:spacing w:after="120"/>
      <w:ind w:left="420" w:leftChars="200"/>
    </w:pPr>
  </w:style>
  <w:style w:type="paragraph" w:styleId="6">
    <w:name w:val="Body Text Indent 2"/>
    <w:basedOn w:val="1"/>
    <w:qFormat/>
    <w:uiPriority w:val="0"/>
    <w:pPr>
      <w:spacing w:line="276" w:lineRule="auto"/>
      <w:ind w:firstLine="420" w:firstLineChars="200"/>
    </w:pPr>
    <w:rPr>
      <w:rFonts w:ascii="宋体" w:hAnsi="宋体"/>
      <w:kern w:val="0"/>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Strong"/>
    <w:basedOn w:val="10"/>
    <w:qFormat/>
    <w:uiPriority w:val="22"/>
    <w:rPr>
      <w:b/>
    </w:rPr>
  </w:style>
  <w:style w:type="character" w:customStyle="1" w:styleId="12">
    <w:name w:val="页眉 字符"/>
    <w:basedOn w:val="10"/>
    <w:link w:val="8"/>
    <w:qFormat/>
    <w:uiPriority w:val="99"/>
    <w:rPr>
      <w:sz w:val="18"/>
      <w:szCs w:val="18"/>
    </w:rPr>
  </w:style>
  <w:style w:type="character" w:customStyle="1" w:styleId="13">
    <w:name w:val="页脚 字符"/>
    <w:basedOn w:val="10"/>
    <w:link w:val="7"/>
    <w:qFormat/>
    <w:uiPriority w:val="99"/>
    <w:rPr>
      <w:sz w:val="18"/>
      <w:szCs w:val="18"/>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章标题"/>
    <w:next w:val="1"/>
    <w:autoRedefine/>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 w:type="character" w:customStyle="1" w:styleId="16">
    <w:name w:val="正文文本缩进 字符"/>
    <w:basedOn w:val="10"/>
    <w:link w:val="5"/>
    <w:semiHidden/>
    <w:qFormat/>
    <w:uiPriority w:val="99"/>
    <w:rPr>
      <w:rFonts w:asciiTheme="minorHAnsi" w:hAnsiTheme="minorHAnsi" w:eastAsiaTheme="minorEastAsia" w:cstheme="minorBidi"/>
      <w:kern w:val="2"/>
      <w:sz w:val="21"/>
      <w:szCs w:val="22"/>
    </w:rPr>
  </w:style>
  <w:style w:type="paragraph" w:customStyle="1" w:styleId="17">
    <w:name w:val="列出段落1"/>
    <w:basedOn w:val="1"/>
    <w:qFormat/>
    <w:uiPriority w:val="0"/>
    <w:pPr>
      <w:ind w:firstLine="420" w:firstLineChars="200"/>
    </w:pPr>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2496</Words>
  <Characters>2575</Characters>
  <Lines>19</Lines>
  <Paragraphs>5</Paragraphs>
  <TotalTime>295</TotalTime>
  <ScaleCrop>false</ScaleCrop>
  <LinksUpToDate>false</LinksUpToDate>
  <CharactersWithSpaces>2614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2026-02-24T01:48:00Z</dcterms:created>
  <dc:creator>liqian</dc:creator>
  <cp:lastModifiedBy>房正</cp:lastModifiedBy>
  <cp:lastPrinted>2026-03-12T08:26:00Z</cp:lastPrinted>
  <dcterms:modified xsi:type="dcterms:W3CDTF">2026-04-15T02:22:38Z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08DD3ABC95E54F338717143F19A9792C_13</vt:lpwstr>
  </property>
  <property fmtid="{D5CDD505-2E9C-101B-9397-08002B2CF9AE}" pid="4" name="KSOTemplateDocerSaveRecord">
    <vt:lpwstr>eyJoZGlkIjoiMGUyOGZlMzdlZWEyMGFlYzc0ZWE1MGJlZjA4NmY3NTMiLCJ1c2VySWQiOiIyNzM3NDc2MDMifQ==</vt:lpwstr>
  </property>
</Properties>
</file>