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C75D1">
      <w:pPr>
        <w:pStyle w:val="17"/>
        <w:framePr w:wrap="around"/>
        <w:rPr>
          <w:rFonts w:hint="default"/>
        </w:rPr>
      </w:pPr>
      <w:r>
        <w:t>中国绿色食品协会团体标准</w:t>
      </w:r>
    </w:p>
    <w:p w14:paraId="51A13C7C">
      <w:pPr>
        <w:pStyle w:val="21"/>
        <w:framePr w:wrap="around" w:x="1470" w:y="3511"/>
        <w:rPr>
          <w:rFonts w:hint="default"/>
        </w:rPr>
      </w:pPr>
      <w:r>
        <w:t>T/CGFAXXX-202X</w:t>
      </w:r>
    </w:p>
    <w:p w14:paraId="08627060">
      <w:pPr>
        <w:pStyle w:val="20"/>
        <w:framePr w:wrap="around" w:x="1470" w:y="3511"/>
        <w:rPr>
          <w:rFonts w:hint="default"/>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5E8C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0E576E02">
            <w:pPr>
              <w:pStyle w:val="18"/>
              <w:framePr w:wrap="around"/>
              <w:rPr>
                <w:rFonts w:hint="default" w:hAnsiTheme="minorHAnsi" w:eastAsiaTheme="minorEastAsia" w:cstheme="minorBidi"/>
                <w:sz w:val="10"/>
              </w:rPr>
            </w:pPr>
          </w:p>
        </w:tc>
      </w:tr>
    </w:tbl>
    <w:p w14:paraId="0E3F68F8">
      <w:pPr>
        <w:framePr w:w="9895" w:h="6974" w:hRule="exact" w:wrap="around" w:vAnchor="page" w:hAnchor="page" w:x="1233" w:y="6190"/>
        <w:spacing w:line="560" w:lineRule="exact"/>
        <w:jc w:val="center"/>
        <w:rPr>
          <w:rFonts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 xml:space="preserve">绿色食品 </w:t>
      </w:r>
      <w:bookmarkStart w:id="2" w:name="OLE_LINK2"/>
      <w:r>
        <w:rPr>
          <w:rFonts w:hint="eastAsia" w:ascii="黑体" w:hAnsi="黑体" w:eastAsia="黑体" w:cs="华文中宋"/>
          <w:bCs/>
          <w:sz w:val="48"/>
          <w:szCs w:val="48"/>
        </w:rPr>
        <w:t>西南地区杂柑生产操作规程</w:t>
      </w:r>
      <w:bookmarkEnd w:id="2"/>
    </w:p>
    <w:bookmarkEnd w:id="0"/>
    <w:bookmarkEnd w:id="1"/>
    <w:p w14:paraId="465ABA6F">
      <w:pPr>
        <w:pStyle w:val="23"/>
        <w:framePr w:w="9895" w:wrap="around" w:x="1233" w:y="6190"/>
        <w:rPr>
          <w:rFonts w:hint="default"/>
          <w:color w:val="EE0000"/>
          <w:sz w:val="24"/>
          <w:szCs w:val="24"/>
        </w:rPr>
      </w:pPr>
      <w:r>
        <w:rPr>
          <w:sz w:val="24"/>
          <w:szCs w:val="24"/>
        </w:rPr>
        <w:t>Code of Practice for Green Food Hybrid Citrus Production in the Southwestern Areas</w:t>
      </w:r>
      <w:r>
        <w:rPr>
          <w:rFonts w:hint="default"/>
          <w:sz w:val="24"/>
          <w:szCs w:val="24"/>
        </w:rPr>
        <w:t xml:space="preserve"> </w:t>
      </w:r>
      <w:r>
        <w:rPr>
          <w:rFonts w:hint="default" w:ascii="Courier New" w:hAnsi="Courier New" w:cs="Courier New"/>
          <w:color w:val="EE0000"/>
          <w:sz w:val="24"/>
          <w:szCs w:val="24"/>
        </w:rPr>
        <w:t>‌‌</w:t>
      </w:r>
    </w:p>
    <w:p w14:paraId="4076A454">
      <w:pPr>
        <w:pStyle w:val="23"/>
        <w:framePr w:w="9895" w:wrap="around" w:x="1233" w:y="6190"/>
        <w:rPr>
          <w:rFonts w:hint="default"/>
        </w:rPr>
      </w:pPr>
    </w:p>
    <w:p w14:paraId="603B944B">
      <w:pPr>
        <w:pStyle w:val="23"/>
        <w:framePr w:w="9895" w:wrap="around" w:x="1233" w:y="6190"/>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3660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41DC0EBF">
            <w:pPr>
              <w:pStyle w:val="19"/>
              <w:framePr w:wrap="around"/>
              <w:rPr>
                <w:rFonts w:hint="default"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4791F0AC">
            <w:pPr>
              <w:pStyle w:val="19"/>
              <w:framePr w:wrap="around"/>
              <w:ind w:right="1120"/>
              <w:jc w:val="right"/>
              <w:rPr>
                <w:rFonts w:hint="default"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34958B65">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93AB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985B83E">
            <w:pPr>
              <w:pStyle w:val="25"/>
              <w:framePr w:wrap="around"/>
              <w:rPr>
                <w:rFonts w:hint="default" w:hAnsiTheme="minorHAnsi" w:cstheme="minorBidi"/>
              </w:rPr>
            </w:pPr>
            <w:r>
              <w:rPr>
                <w:rFonts w:hAnsiTheme="minorHAnsi" w:cstheme="minorBidi"/>
              </w:rPr>
              <w:t>ICS</w:t>
            </w:r>
          </w:p>
        </w:tc>
        <w:tc>
          <w:tcPr>
            <w:tcW w:w="9107" w:type="dxa"/>
          </w:tcPr>
          <w:p w14:paraId="22F08E91">
            <w:pPr>
              <w:pStyle w:val="25"/>
              <w:framePr w:wrap="around"/>
              <w:rPr>
                <w:rFonts w:hint="default" w:hAnsiTheme="minorHAnsi" w:cstheme="minorBidi"/>
              </w:rPr>
            </w:pPr>
          </w:p>
        </w:tc>
      </w:tr>
      <w:tr w14:paraId="26F06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413FDFB">
            <w:pPr>
              <w:pStyle w:val="25"/>
              <w:framePr w:wrap="around"/>
              <w:rPr>
                <w:rFonts w:hint="default" w:hAnsiTheme="minorHAnsi" w:cstheme="minorBidi"/>
              </w:rPr>
            </w:pPr>
            <w:r>
              <w:rPr>
                <w:rFonts w:hAnsiTheme="minorHAnsi" w:cstheme="minorBidi"/>
              </w:rPr>
              <w:t>CCS B</w:t>
            </w:r>
          </w:p>
        </w:tc>
        <w:tc>
          <w:tcPr>
            <w:tcW w:w="9107" w:type="dxa"/>
          </w:tcPr>
          <w:p w14:paraId="017C11F5">
            <w:pPr>
              <w:pStyle w:val="25"/>
              <w:framePr w:wrap="around"/>
              <w:rPr>
                <w:rFonts w:hint="default" w:hAnsiTheme="minorHAnsi" w:cstheme="minorBidi"/>
              </w:rPr>
            </w:pPr>
          </w:p>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0A38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17343394">
                  <w:pPr>
                    <w:pStyle w:val="25"/>
                    <w:framePr w:wrap="around"/>
                    <w:ind w:left="0" w:leftChars="0" w:firstLine="2764"/>
                    <w:jc w:val="right"/>
                    <w:rPr>
                      <w:rFonts w:hint="default" w:ascii="Times New Roman" w:eastAsia="宋体" w:hAnsiTheme="minorHAnsi" w:cstheme="minorBidi"/>
                      <w:b/>
                      <w:w w:val="130"/>
                      <w:kern w:val="0"/>
                    </w:rPr>
                  </w:pPr>
                  <w:r>
                    <w:rPr>
                      <w:rFonts w:hint="default" w:hAnsi="黑体" w:cs="楷体"/>
                      <w:b/>
                      <w:w w:val="130"/>
                      <w:kern w:val="0"/>
                      <w:sz w:val="96"/>
                    </w:rPr>
                    <w:t>T/CGFA</w:t>
                  </w:r>
                </w:p>
              </w:tc>
            </w:tr>
          </w:tbl>
          <w:p w14:paraId="43BD94B5">
            <w:pPr>
              <w:pStyle w:val="25"/>
              <w:framePr w:wrap="around"/>
              <w:rPr>
                <w:rFonts w:hint="default" w:hAnsiTheme="minorHAnsi" w:cstheme="minorBidi"/>
              </w:rPr>
            </w:pPr>
          </w:p>
        </w:tc>
      </w:tr>
      <w:tr w14:paraId="4B9C2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23E2FADB">
            <w:pPr>
              <w:pStyle w:val="25"/>
              <w:framePr w:wrap="around"/>
              <w:rPr>
                <w:rFonts w:hint="default" w:hAnsiTheme="minorHAnsi" w:cstheme="minorBidi"/>
              </w:rPr>
            </w:pPr>
          </w:p>
        </w:tc>
        <w:tc>
          <w:tcPr>
            <w:tcW w:w="9107" w:type="dxa"/>
          </w:tcPr>
          <w:p w14:paraId="4E981487">
            <w:pPr>
              <w:pStyle w:val="25"/>
              <w:framePr w:wrap="around"/>
              <w:ind w:left="0" w:leftChars="0" w:firstLine="0" w:firstLineChars="0"/>
              <w:rPr>
                <w:rFonts w:hint="default" w:hAnsiTheme="minorHAnsi" w:cstheme="minorBidi"/>
              </w:rPr>
            </w:pPr>
          </w:p>
          <w:p w14:paraId="492B4F22">
            <w:pPr>
              <w:pStyle w:val="25"/>
              <w:framePr w:wrap="around"/>
              <w:rPr>
                <w:rFonts w:hint="default" w:hAnsiTheme="minorHAnsi" w:cstheme="minorBidi"/>
              </w:rPr>
            </w:pPr>
            <w:r>
              <w:rPr>
                <w:rFonts w:hAnsiTheme="minorHAnsi" w:cstheme="minorBidi"/>
              </w:rPr>
              <w:t xml:space="preserve"> </w:t>
            </w:r>
          </w:p>
        </w:tc>
      </w:tr>
    </w:tbl>
    <w:p w14:paraId="4443E7D3">
      <w:pPr>
        <w:sectPr>
          <w:pgSz w:w="11906" w:h="16838"/>
          <w:pgMar w:top="1440" w:right="1800" w:bottom="1440" w:left="1800" w:header="851" w:footer="992" w:gutter="0"/>
          <w:cols w:space="425" w:num="1"/>
          <w:docGrid w:type="lines" w:linePitch="312" w:charSpace="0"/>
        </w:sectPr>
      </w:pPr>
    </w:p>
    <w:p w14:paraId="51619031">
      <w:pPr>
        <w:jc w:val="center"/>
        <w:outlineLvl w:val="0"/>
        <w:rPr>
          <w:rFonts w:ascii="黑体" w:hAnsi="黑体" w:eastAsia="黑体"/>
          <w:bCs/>
          <w:sz w:val="32"/>
          <w:szCs w:val="32"/>
        </w:rPr>
      </w:pPr>
      <w:r>
        <w:rPr>
          <w:rFonts w:hint="eastAsia" w:ascii="黑体" w:hAnsi="黑体" w:eastAsia="黑体"/>
          <w:bCs/>
          <w:sz w:val="32"/>
          <w:szCs w:val="32"/>
        </w:rPr>
        <w:t>前   言</w:t>
      </w:r>
    </w:p>
    <w:p w14:paraId="1A16B611">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19870E05">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73F6916E">
      <w:pPr>
        <w:ind w:firstLine="420" w:firstLineChars="200"/>
        <w:rPr>
          <w:rFonts w:ascii="宋体" w:hAnsi="宋体" w:eastAsia="宋体"/>
        </w:rPr>
      </w:pPr>
      <w:r>
        <w:rPr>
          <w:rFonts w:hint="eastAsia" w:ascii="宋体" w:hAnsi="宋体" w:eastAsia="宋体"/>
        </w:rPr>
        <w:t>本文件由中国绿色食品发展中心提出。</w:t>
      </w:r>
    </w:p>
    <w:p w14:paraId="0DFC700E">
      <w:pPr>
        <w:ind w:firstLine="420" w:firstLineChars="200"/>
        <w:rPr>
          <w:rFonts w:ascii="宋体" w:hAnsi="宋体" w:eastAsia="宋体"/>
        </w:rPr>
      </w:pPr>
      <w:r>
        <w:rPr>
          <w:rFonts w:hint="eastAsia" w:ascii="宋体" w:hAnsi="宋体" w:eastAsia="宋体"/>
        </w:rPr>
        <w:t>本文件由中国绿色食品协会归口。</w:t>
      </w:r>
    </w:p>
    <w:p w14:paraId="7F5CC8BE">
      <w:pPr>
        <w:ind w:firstLine="420" w:firstLineChars="200"/>
        <w:rPr>
          <w:rFonts w:hint="eastAsia" w:ascii="宋体" w:hAnsi="宋体" w:eastAsia="宋体"/>
          <w:lang w:eastAsia="zh-CN"/>
        </w:rPr>
      </w:pPr>
      <w:r>
        <w:rPr>
          <w:rFonts w:hint="eastAsia" w:ascii="宋体" w:hAnsi="宋体" w:eastAsia="宋体"/>
        </w:rPr>
        <w:t>本标准起草单位：</w:t>
      </w:r>
      <w:r>
        <w:rPr>
          <w:rFonts w:hint="eastAsia" w:ascii="宋体" w:hAnsi="宋体" w:eastAsia="宋体"/>
          <w:lang w:val="en-US" w:eastAsia="zh-CN"/>
        </w:rPr>
        <w:t>*</w:t>
      </w:r>
      <w:bookmarkStart w:id="7" w:name="_GoBack"/>
      <w:bookmarkEnd w:id="7"/>
    </w:p>
    <w:p w14:paraId="6636120E">
      <w:pPr>
        <w:ind w:firstLine="420" w:firstLineChars="200"/>
        <w:rPr>
          <w:rFonts w:hint="eastAsia" w:ascii="宋体" w:hAnsi="宋体" w:eastAsia="宋体"/>
          <w:lang w:eastAsia="zh-CN"/>
        </w:rPr>
      </w:pPr>
      <w:r>
        <w:rPr>
          <w:rFonts w:hint="eastAsia" w:ascii="宋体" w:hAnsi="宋体" w:eastAsia="宋体"/>
        </w:rPr>
        <w:t>本标准主要起草人：</w:t>
      </w:r>
      <w:r>
        <w:rPr>
          <w:rFonts w:hint="eastAsia" w:ascii="宋体" w:hAnsi="宋体" w:eastAsia="宋体"/>
          <w:bCs/>
          <w:lang w:val="en-US" w:eastAsia="zh-CN"/>
        </w:rPr>
        <w:t>*</w:t>
      </w:r>
    </w:p>
    <w:p w14:paraId="3DDAD3D0">
      <w:pPr>
        <w:ind w:firstLine="420" w:firstLineChars="200"/>
        <w:rPr>
          <w:rFonts w:ascii="宋体" w:hAnsi="宋体" w:eastAsia="宋体"/>
        </w:rPr>
      </w:pPr>
      <w:bookmarkStart w:id="3" w:name="OLE_LINK15"/>
      <w:bookmarkStart w:id="4" w:name="OLE_LINK16"/>
      <w:r>
        <w:rPr>
          <w:rFonts w:hint="eastAsia" w:ascii="宋体" w:hAnsi="宋体" w:eastAsia="宋体" w:cs="宋体"/>
          <w:kern w:val="0"/>
          <w:szCs w:val="21"/>
        </w:rPr>
        <w:t>本文件批准发布后，因个别内容需要进行修改，或者对原文件内容进行增减时，可采用修改单方式修改本文件。</w:t>
      </w:r>
    </w:p>
    <w:bookmarkEnd w:id="3"/>
    <w:bookmarkEnd w:id="4"/>
    <w:p w14:paraId="542317DC">
      <w:pPr>
        <w:ind w:firstLine="420" w:firstLineChars="200"/>
        <w:rPr>
          <w:rFonts w:ascii="宋体" w:hAnsi="宋体" w:eastAsia="宋体"/>
        </w:rPr>
      </w:pPr>
      <w:r>
        <w:rPr>
          <w:rFonts w:hint="eastAsia" w:ascii="宋体" w:hAnsi="宋体" w:eastAsia="宋体"/>
        </w:rPr>
        <w:t>本文件为首次发布。</w:t>
      </w:r>
    </w:p>
    <w:p w14:paraId="3A36CE64"/>
    <w:p w14:paraId="04BA37A4">
      <w:pPr>
        <w:sectPr>
          <w:pgSz w:w="11906" w:h="16838"/>
          <w:pgMar w:top="1440" w:right="1800" w:bottom="1440" w:left="1800" w:header="851" w:footer="992" w:gutter="0"/>
          <w:cols w:space="425" w:num="1"/>
          <w:docGrid w:type="lines" w:linePitch="312" w:charSpace="0"/>
        </w:sectPr>
      </w:pPr>
    </w:p>
    <w:p w14:paraId="0717CE4E">
      <w:pPr>
        <w:widowControl/>
        <w:jc w:val="center"/>
        <w:outlineLvl w:val="0"/>
        <w:rPr>
          <w:rFonts w:ascii="黑体" w:hAnsi="黑体" w:eastAsia="黑体" w:cs="黑体"/>
          <w:kern w:val="0"/>
          <w:sz w:val="32"/>
          <w:szCs w:val="32"/>
        </w:rPr>
      </w:pPr>
      <w:r>
        <w:rPr>
          <w:rFonts w:hint="eastAsia" w:ascii="黑体" w:hAnsi="黑体" w:eastAsia="黑体" w:cs="黑体"/>
          <w:kern w:val="0"/>
          <w:sz w:val="32"/>
          <w:szCs w:val="32"/>
        </w:rPr>
        <w:t>绿色食品 西南地区杂柑生产操作规程</w:t>
      </w:r>
    </w:p>
    <w:p w14:paraId="2EE34F9D">
      <w:pPr>
        <w:pStyle w:val="30"/>
        <w:spacing w:before="312" w:after="312"/>
      </w:pPr>
      <w:r>
        <w:rPr>
          <w:rFonts w:hint="eastAsia"/>
        </w:rPr>
        <w:t>1   范围</w:t>
      </w:r>
    </w:p>
    <w:p w14:paraId="710BBE39">
      <w:pPr>
        <w:pStyle w:val="38"/>
        <w:contextualSpacing/>
        <w:rPr>
          <w:rFonts w:ascii="宋体" w:hAnsi="宋体" w:cs="宋体"/>
        </w:rPr>
      </w:pPr>
      <w:r>
        <w:rPr>
          <w:rFonts w:hint="eastAsia" w:ascii="宋体" w:hAnsi="宋体" w:cs="宋体"/>
        </w:rPr>
        <w:t>本文件规定了西南地区绿色食品杂柑的产地环境、品种和砧木选择、整地和栽植、田间管理、果实采收、生产废弃物处理、储藏与运输、生产档案管理的技术要求。</w:t>
      </w:r>
    </w:p>
    <w:p w14:paraId="7CF01C8F">
      <w:pPr>
        <w:pStyle w:val="38"/>
        <w:contextualSpacing/>
        <w:rPr>
          <w:rFonts w:ascii="宋体" w:hAnsi="宋体" w:cs="宋体"/>
        </w:rPr>
      </w:pPr>
      <w:r>
        <w:rPr>
          <w:rFonts w:hint="eastAsia" w:ascii="宋体" w:hAnsi="宋体" w:cs="宋体"/>
        </w:rPr>
        <w:t>本文件适用于重庆、四川等西南地区的绿色食品杂柑生产。</w:t>
      </w:r>
    </w:p>
    <w:p w14:paraId="03E5E317">
      <w:pPr>
        <w:pStyle w:val="30"/>
        <w:spacing w:before="312" w:after="312"/>
      </w:pPr>
      <w:r>
        <w:rPr>
          <w:rFonts w:hint="eastAsia"/>
        </w:rPr>
        <w:t>2   规范性引用文件</w:t>
      </w:r>
    </w:p>
    <w:p w14:paraId="5823688E">
      <w:pPr>
        <w:pStyle w:val="30"/>
        <w:spacing w:beforeLines="0" w:afterLines="0"/>
        <w:ind w:firstLine="420" w:firstLineChars="200"/>
        <w:rPr>
          <w:rFonts w:hAnsi="宋体" w:cs="仿宋"/>
          <w:bCs/>
          <w:szCs w:val="21"/>
        </w:rPr>
      </w:pPr>
      <w:sdt>
        <w:sdtPr>
          <w:rPr>
            <w:rFonts w:hint="eastAsia" w:ascii="宋体" w:hAnsi="宋体" w:eastAsia="宋体" w:cs="仿宋"/>
            <w:bCs/>
            <w:kern w:val="2"/>
            <w:szCs w:val="21"/>
          </w:r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hint="eastAsia" w:ascii="宋体" w:hAnsi="宋体" w:eastAsia="宋体" w:cs="仿宋"/>
            <w:bCs/>
            <w:kern w:val="2"/>
            <w:szCs w:val="21"/>
          </w:rPr>
        </w:sdtEndPr>
        <w:sdtContent>
          <w:r>
            <w:rPr>
              <w:rFonts w:hint="eastAsia" w:ascii="宋体" w:hAnsi="宋体" w:eastAsia="宋体" w:cs="仿宋"/>
              <w:bCs/>
              <w:kern w:val="2"/>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287EB067">
      <w:pPr>
        <w:pStyle w:val="38"/>
        <w:contextualSpacing/>
        <w:rPr>
          <w:rFonts w:ascii="宋体" w:hAnsi="宋体" w:cs="宋体"/>
        </w:rPr>
      </w:pPr>
      <w:r>
        <w:rPr>
          <w:rFonts w:hint="eastAsia" w:ascii="宋体" w:hAnsi="宋体" w:cs="宋体"/>
        </w:rPr>
        <w:t>NY/T 391     绿色食品 产地环境质量</w:t>
      </w:r>
    </w:p>
    <w:p w14:paraId="14568466">
      <w:pPr>
        <w:pStyle w:val="38"/>
        <w:contextualSpacing/>
        <w:rPr>
          <w:rFonts w:ascii="宋体" w:hAnsi="宋体" w:cs="宋体"/>
        </w:rPr>
      </w:pPr>
      <w:r>
        <w:rPr>
          <w:rFonts w:hint="eastAsia" w:ascii="宋体" w:hAnsi="宋体" w:cs="宋体"/>
        </w:rPr>
        <w:t>NY/T 393     绿色食品 农药使用准则</w:t>
      </w:r>
    </w:p>
    <w:p w14:paraId="787D0356">
      <w:pPr>
        <w:pStyle w:val="38"/>
        <w:contextualSpacing/>
        <w:rPr>
          <w:rFonts w:ascii="宋体" w:hAnsi="宋体" w:cs="宋体"/>
        </w:rPr>
      </w:pPr>
      <w:r>
        <w:rPr>
          <w:rFonts w:hint="eastAsia" w:ascii="宋体" w:hAnsi="宋体" w:cs="宋体"/>
        </w:rPr>
        <w:t>NY/T 394     绿色食品 肥料使用准则</w:t>
      </w:r>
    </w:p>
    <w:p w14:paraId="73AD9CAB">
      <w:pPr>
        <w:pStyle w:val="38"/>
        <w:contextualSpacing/>
        <w:rPr>
          <w:rFonts w:ascii="宋体" w:hAnsi="宋体" w:cs="宋体"/>
        </w:rPr>
      </w:pPr>
      <w:r>
        <w:rPr>
          <w:rFonts w:hint="eastAsia" w:ascii="宋体" w:hAnsi="宋体" w:cs="宋体"/>
        </w:rPr>
        <w:t xml:space="preserve">NY/T </w:t>
      </w:r>
      <w:r>
        <w:rPr>
          <w:rFonts w:hint="eastAsia" w:ascii="宋体" w:hAnsi="宋体" w:cs="宋体"/>
          <w:lang w:val="zh-CN"/>
        </w:rPr>
        <w:t>426</w:t>
      </w:r>
      <w:r>
        <w:rPr>
          <w:rFonts w:hint="eastAsia" w:ascii="宋体" w:hAnsi="宋体" w:cs="宋体"/>
        </w:rPr>
        <w:t xml:space="preserve">     绿色食品 柑橘类水果</w:t>
      </w:r>
    </w:p>
    <w:p w14:paraId="31C84690">
      <w:pPr>
        <w:pStyle w:val="38"/>
        <w:contextualSpacing/>
        <w:rPr>
          <w:rFonts w:ascii="宋体" w:hAnsi="宋体" w:cs="宋体"/>
          <w:lang w:val="ru-RU"/>
        </w:rPr>
      </w:pPr>
      <w:r>
        <w:rPr>
          <w:rFonts w:hint="eastAsia" w:ascii="宋体" w:hAnsi="宋体" w:cs="宋体"/>
        </w:rPr>
        <w:t xml:space="preserve">NY/T </w:t>
      </w:r>
      <w:r>
        <w:rPr>
          <w:rFonts w:hint="eastAsia" w:ascii="宋体" w:hAnsi="宋体" w:cs="宋体"/>
          <w:lang w:val="zh-CN"/>
        </w:rPr>
        <w:t xml:space="preserve">1056 </w:t>
      </w:r>
      <w:r>
        <w:rPr>
          <w:rFonts w:hint="eastAsia" w:ascii="宋体" w:hAnsi="宋体" w:cs="宋体"/>
          <w:lang w:val="ru-RU"/>
        </w:rPr>
        <w:t xml:space="preserve">   绿色食品 储藏运输准则</w:t>
      </w:r>
    </w:p>
    <w:p w14:paraId="506B3AB0">
      <w:pPr>
        <w:pStyle w:val="38"/>
        <w:contextualSpacing/>
        <w:rPr>
          <w:rFonts w:ascii="宋体" w:hAnsi="宋体" w:cs="宋体"/>
        </w:rPr>
      </w:pPr>
      <w:r>
        <w:fldChar w:fldCharType="begin"/>
      </w:r>
      <w:r>
        <w:instrText xml:space="preserve"> HYPERLINK "http://down.foodmate.net/standard/sort/5/10842.html" \t "_blank" </w:instrText>
      </w:r>
      <w:r>
        <w:fldChar w:fldCharType="separate"/>
      </w:r>
      <w:r>
        <w:rPr>
          <w:rFonts w:hint="eastAsia" w:ascii="宋体" w:hAnsi="宋体" w:cs="宋体"/>
        </w:rPr>
        <w:t>NY/T 1189    柑橘储藏</w:t>
      </w:r>
      <w:r>
        <w:rPr>
          <w:rFonts w:hint="eastAsia" w:ascii="宋体" w:hAnsi="宋体" w:cs="宋体"/>
        </w:rPr>
        <w:fldChar w:fldCharType="end"/>
      </w:r>
    </w:p>
    <w:p w14:paraId="76A77240">
      <w:pPr>
        <w:pStyle w:val="30"/>
        <w:spacing w:before="312" w:after="312"/>
      </w:pPr>
      <w:r>
        <w:rPr>
          <w:rFonts w:hint="eastAsia"/>
        </w:rPr>
        <w:t>3   术语和定义</w:t>
      </w:r>
    </w:p>
    <w:p w14:paraId="1F536EC7">
      <w:pPr>
        <w:spacing w:line="360" w:lineRule="auto"/>
        <w:rPr>
          <w:rFonts w:ascii="宋体" w:hAnsi="宋体" w:eastAsia="宋体" w:cs="仿宋"/>
          <w:bCs/>
          <w:szCs w:val="21"/>
        </w:rPr>
      </w:pPr>
      <w:r>
        <w:rPr>
          <w:rFonts w:hint="eastAsia" w:ascii="宋体" w:hAnsi="宋体" w:eastAsia="宋体" w:cs="仿宋"/>
          <w:bCs/>
          <w:szCs w:val="21"/>
        </w:rPr>
        <w:t xml:space="preserve">    下列术语和定义适用于本文件。</w:t>
      </w:r>
    </w:p>
    <w:p w14:paraId="5CB8F004">
      <w:pPr>
        <w:widowControl/>
        <w:spacing w:line="360" w:lineRule="auto"/>
        <w:rPr>
          <w:rFonts w:ascii="黑体" w:hAnsi="黑体" w:eastAsia="黑体" w:cs="仿宋"/>
          <w:bCs/>
          <w:szCs w:val="21"/>
        </w:rPr>
      </w:pPr>
      <w:r>
        <w:rPr>
          <w:rFonts w:ascii="黑体" w:hAnsi="黑体" w:eastAsia="黑体" w:cs="仿宋"/>
          <w:bCs/>
          <w:szCs w:val="21"/>
        </w:rPr>
        <w:t xml:space="preserve">3.1 </w:t>
      </w:r>
    </w:p>
    <w:p w14:paraId="388400D8">
      <w:pPr>
        <w:widowControl/>
        <w:spacing w:line="360" w:lineRule="auto"/>
        <w:ind w:firstLine="420" w:firstLineChars="200"/>
        <w:rPr>
          <w:rFonts w:ascii="黑体" w:hAnsi="黑体" w:eastAsia="黑体" w:cs="仿宋"/>
          <w:bCs/>
          <w:szCs w:val="21"/>
        </w:rPr>
      </w:pPr>
      <w:r>
        <w:rPr>
          <w:rFonts w:hint="eastAsia" w:ascii="黑体" w:hAnsi="黑体" w:eastAsia="黑体" w:cs="仿宋"/>
          <w:bCs/>
          <w:szCs w:val="21"/>
        </w:rPr>
        <w:t>杂柑Hybrid Citrus</w:t>
      </w:r>
    </w:p>
    <w:p w14:paraId="203C1EB7">
      <w:pPr>
        <w:pStyle w:val="38"/>
        <w:contextualSpacing/>
        <w:rPr>
          <w:rFonts w:ascii="宋体" w:hAnsi="宋体" w:cs="宋体"/>
        </w:rPr>
      </w:pPr>
      <w:r>
        <w:rPr>
          <w:rFonts w:hint="eastAsia" w:ascii="宋体" w:hAnsi="宋体" w:cs="宋体"/>
        </w:rPr>
        <w:t>杂柑是指可供果树栽培的柑橘属间或种间杂种的统称。目前以鲜食为主的杂柑以柚、橘、橙间的杂种居多；作为砧木使用的主要有枳橙、枳柚等。本文件特指以生产鲜果为主要用途的橘橙、橘柚类杂柑。</w:t>
      </w:r>
    </w:p>
    <w:p w14:paraId="605AE91A">
      <w:pPr>
        <w:pStyle w:val="30"/>
        <w:spacing w:before="312" w:after="312"/>
      </w:pPr>
      <w:r>
        <w:rPr>
          <w:rFonts w:hint="eastAsia"/>
        </w:rPr>
        <w:t>4   产地环境</w:t>
      </w:r>
      <w:bookmarkStart w:id="5" w:name="OLE_LINK17"/>
    </w:p>
    <w:bookmarkEnd w:id="5"/>
    <w:p w14:paraId="37DF6FDD">
      <w:pPr>
        <w:pStyle w:val="38"/>
        <w:contextualSpacing/>
        <w:rPr>
          <w:rFonts w:ascii="宋体" w:hAnsi="宋体" w:cs="宋体"/>
        </w:rPr>
      </w:pPr>
      <w:bookmarkStart w:id="6" w:name="_Hlk224827739"/>
      <w:r>
        <w:rPr>
          <w:rFonts w:hint="eastAsia" w:ascii="宋体" w:hAnsi="宋体" w:cs="宋体"/>
        </w:rPr>
        <w:t>产地环境条件应符合NY/T 391的要求。</w:t>
      </w:r>
    </w:p>
    <w:p w14:paraId="6190F38E">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4.1 基地选址</w:t>
      </w:r>
    </w:p>
    <w:p w14:paraId="68E797FE">
      <w:pPr>
        <w:pStyle w:val="38"/>
        <w:contextualSpacing/>
        <w:rPr>
          <w:rFonts w:ascii="宋体" w:hAnsi="宋体" w:cs="宋体"/>
        </w:rPr>
      </w:pPr>
      <w:r>
        <w:rPr>
          <w:rFonts w:hint="eastAsia" w:ascii="宋体" w:hAnsi="宋体" w:cs="宋体"/>
        </w:rPr>
        <w:t>基地要求离交通要道有一定距离，无扬尘，周边无工矿企业，空气质量良好；灌溉水源无工矿企业及生活污染源。</w:t>
      </w:r>
    </w:p>
    <w:p w14:paraId="7074A069">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4.2 地形地势</w:t>
      </w:r>
    </w:p>
    <w:p w14:paraId="7D1EE2F0">
      <w:pPr>
        <w:pStyle w:val="38"/>
        <w:contextualSpacing/>
        <w:rPr>
          <w:rFonts w:ascii="宋体" w:hAnsi="宋体" w:cs="宋体"/>
        </w:rPr>
      </w:pPr>
      <w:r>
        <w:rPr>
          <w:rFonts w:hint="eastAsia" w:ascii="宋体" w:hAnsi="宋体" w:cs="宋体"/>
        </w:rPr>
        <w:t>平地果园应具备良好的排水条件，排水不畅的低洼地不宜栽植；土层内常年地下水位应在100cm以下，冷空气易沉积的山谷地不宜栽植和发展。</w:t>
      </w:r>
    </w:p>
    <w:p w14:paraId="41C5A225">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4.3 土壤条件</w:t>
      </w:r>
    </w:p>
    <w:p w14:paraId="0128119C">
      <w:pPr>
        <w:pStyle w:val="38"/>
        <w:contextualSpacing/>
        <w:rPr>
          <w:rFonts w:ascii="宋体" w:hAnsi="宋体" w:cs="宋体"/>
        </w:rPr>
      </w:pPr>
      <w:r>
        <w:rPr>
          <w:rFonts w:hint="eastAsia" w:ascii="宋体" w:hAnsi="宋体" w:cs="宋体"/>
        </w:rPr>
        <w:t>土壤质地良好，疏松肥沃，最适土壤pH为5.5～6.5；土壤质地最适为中壤土、沙壤土和轻粘土；重粘土也可栽植，但应在定植前进行土壤改良，未进行改良地块则不宜栽植；土壤活土层厚度最少应在80cm以上，最佳为 100cm以上，土壤有机质含量应达1%以上。</w:t>
      </w:r>
    </w:p>
    <w:p w14:paraId="1749B7AC">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4.4 气候条件</w:t>
      </w:r>
    </w:p>
    <w:p w14:paraId="3F02EB12">
      <w:pPr>
        <w:pStyle w:val="38"/>
        <w:contextualSpacing/>
        <w:rPr>
          <w:rFonts w:ascii="宋体" w:hAnsi="宋体" w:cs="宋体"/>
        </w:rPr>
      </w:pPr>
      <w:r>
        <w:rPr>
          <w:rFonts w:hint="eastAsia" w:ascii="宋体" w:hAnsi="宋体" w:cs="宋体"/>
        </w:rPr>
        <w:t>年平均温度16.0℃以上，最冷月元月份平均气温2.0℃以上，≥10℃年活动积温4200℃以上，最冷月极端低温平均值在-5.0℃以上。</w:t>
      </w:r>
    </w:p>
    <w:p w14:paraId="4E0CB2CE">
      <w:pPr>
        <w:pStyle w:val="30"/>
        <w:spacing w:before="312" w:after="312"/>
      </w:pPr>
      <w:r>
        <w:rPr>
          <w:rFonts w:hint="eastAsia"/>
        </w:rPr>
        <w:t>5   品种和砧木选择</w:t>
      </w:r>
    </w:p>
    <w:p w14:paraId="410B55CC">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5.1选择原则</w:t>
      </w:r>
    </w:p>
    <w:p w14:paraId="48034F0B">
      <w:pPr>
        <w:pStyle w:val="38"/>
        <w:contextualSpacing/>
        <w:rPr>
          <w:rFonts w:ascii="宋体" w:hAnsi="宋体" w:cs="宋体"/>
        </w:rPr>
      </w:pPr>
      <w:r>
        <w:rPr>
          <w:rFonts w:hint="eastAsia" w:ascii="宋体" w:hAnsi="宋体" w:cs="宋体"/>
        </w:rPr>
        <w:t>杂柑品种包含接穗品种和砧木品种。接穗品种选择应符合当地柑橘产业发展规划，以鲜食、早熟品种为主。砧木品种选择需因地制宜，对于土壤较为贫瘠的种植区域，宜选择优良枳橙砧木；碱性较重的石灰性紫色土地块，宜选用软枝香橙、红橘砧木。</w:t>
      </w:r>
    </w:p>
    <w:p w14:paraId="39F74EE5">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5.2品种选用</w:t>
      </w:r>
    </w:p>
    <w:p w14:paraId="039BF8E9">
      <w:pPr>
        <w:pStyle w:val="38"/>
        <w:contextualSpacing/>
        <w:rPr>
          <w:rFonts w:ascii="宋体" w:hAnsi="宋体" w:cs="宋体"/>
        </w:rPr>
      </w:pPr>
      <w:r>
        <w:rPr>
          <w:rFonts w:hint="eastAsia" w:ascii="宋体" w:hAnsi="宋体" w:cs="宋体"/>
        </w:rPr>
        <w:t>适宜西南地区栽植的优良杂柑品种主要有爱媛38号、不知火、春见、清见等。</w:t>
      </w:r>
    </w:p>
    <w:p w14:paraId="5DE2689A">
      <w:pPr>
        <w:pStyle w:val="30"/>
        <w:spacing w:before="312" w:after="312"/>
      </w:pPr>
      <w:r>
        <w:rPr>
          <w:rFonts w:hint="eastAsia"/>
        </w:rPr>
        <w:t>6   整地和栽植</w:t>
      </w:r>
    </w:p>
    <w:p w14:paraId="66E9DA35">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6.1整地</w:t>
      </w:r>
    </w:p>
    <w:p w14:paraId="238F7397">
      <w:pPr>
        <w:pStyle w:val="38"/>
        <w:contextualSpacing/>
        <w:rPr>
          <w:rFonts w:ascii="宋体" w:hAnsi="宋体" w:cs="宋体"/>
        </w:rPr>
      </w:pPr>
      <w:r>
        <w:rPr>
          <w:rFonts w:hint="eastAsia" w:ascii="宋体" w:hAnsi="宋体" w:cs="宋体"/>
        </w:rPr>
        <w:t>按照平地南北成行、坡地行向与坡向平行整地开挖定植穴，尽量保持相邻台地对齐。挖长60cm、宽60cm、深60cm的定植穴（或定植沟），玉米秆、稻草等作物稿秆、杂草、堆肥均可作为有机肥填入定植穴（或定植沟），每穴8～10kg，复合肥1kg，分层压埋。</w:t>
      </w:r>
    </w:p>
    <w:p w14:paraId="4784D608">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6.2 栽植</w:t>
      </w:r>
    </w:p>
    <w:p w14:paraId="57D4657A">
      <w:pPr>
        <w:pStyle w:val="38"/>
        <w:ind w:firstLine="0" w:firstLineChars="0"/>
        <w:contextualSpacing/>
        <w:outlineLvl w:val="2"/>
        <w:rPr>
          <w:rFonts w:ascii="黑体" w:hAnsi="黑体" w:eastAsia="黑体" w:cs="黑体"/>
        </w:rPr>
      </w:pPr>
      <w:r>
        <w:rPr>
          <w:rFonts w:hint="eastAsia" w:ascii="黑体" w:hAnsi="黑体" w:eastAsia="黑体" w:cs="黑体"/>
        </w:rPr>
        <w:t>6.2.1苗木质量</w:t>
      </w:r>
    </w:p>
    <w:p w14:paraId="23B84E1C">
      <w:pPr>
        <w:pStyle w:val="38"/>
        <w:contextualSpacing/>
        <w:rPr>
          <w:rFonts w:ascii="宋体" w:hAnsi="宋体" w:cs="宋体"/>
        </w:rPr>
      </w:pPr>
      <w:r>
        <w:rPr>
          <w:rFonts w:hint="eastAsia" w:ascii="宋体" w:hAnsi="宋体" w:cs="宋体"/>
        </w:rPr>
        <w:t>无检疫性病虫害，根系发达，苗高40cm以上，茎粗0.6cm以上，品种纯正无混杂。</w:t>
      </w:r>
    </w:p>
    <w:p w14:paraId="65E5F7AE">
      <w:pPr>
        <w:pStyle w:val="38"/>
        <w:ind w:firstLine="0" w:firstLineChars="0"/>
        <w:contextualSpacing/>
        <w:outlineLvl w:val="2"/>
        <w:rPr>
          <w:rFonts w:ascii="黑体" w:hAnsi="黑体" w:eastAsia="黑体" w:cs="黑体"/>
        </w:rPr>
      </w:pPr>
      <w:r>
        <w:rPr>
          <w:rFonts w:hint="eastAsia" w:ascii="黑体" w:hAnsi="黑体" w:eastAsia="黑体" w:cs="黑体"/>
        </w:rPr>
        <w:t>6.2.2栽植时间</w:t>
      </w:r>
    </w:p>
    <w:p w14:paraId="37C525CA">
      <w:pPr>
        <w:pStyle w:val="38"/>
        <w:contextualSpacing/>
        <w:rPr>
          <w:rFonts w:ascii="宋体" w:hAnsi="宋体" w:cs="宋体"/>
        </w:rPr>
      </w:pPr>
      <w:r>
        <w:rPr>
          <w:rFonts w:hint="eastAsia" w:ascii="宋体" w:hAnsi="宋体" w:cs="宋体"/>
        </w:rPr>
        <w:t>一般在9月～10月秋梢老熟后或2月～3月春梢萌芽前栽植；采用柑橘容器苗定植的，定植时间可在2月～10月间灵活选择。</w:t>
      </w:r>
    </w:p>
    <w:p w14:paraId="1EC3EE12">
      <w:pPr>
        <w:pStyle w:val="38"/>
        <w:ind w:firstLine="0" w:firstLineChars="0"/>
        <w:contextualSpacing/>
        <w:outlineLvl w:val="2"/>
        <w:rPr>
          <w:rFonts w:ascii="黑体" w:hAnsi="黑体" w:eastAsia="黑体" w:cs="黑体"/>
        </w:rPr>
      </w:pPr>
      <w:r>
        <w:rPr>
          <w:rFonts w:hint="eastAsia" w:ascii="黑体" w:hAnsi="黑体" w:eastAsia="黑体" w:cs="黑体"/>
        </w:rPr>
        <w:t>6.2.3栽植密度</w:t>
      </w:r>
    </w:p>
    <w:p w14:paraId="68191A34">
      <w:pPr>
        <w:pStyle w:val="38"/>
        <w:contextualSpacing/>
        <w:rPr>
          <w:rFonts w:ascii="宋体" w:hAnsi="宋体" w:cs="宋体"/>
        </w:rPr>
      </w:pPr>
      <w:r>
        <w:rPr>
          <w:rFonts w:hint="eastAsia" w:ascii="宋体" w:hAnsi="宋体" w:cs="宋体"/>
        </w:rPr>
        <w:t>根据品种特性和砧木种类，亩植36～60株。</w:t>
      </w:r>
    </w:p>
    <w:p w14:paraId="68723C15">
      <w:pPr>
        <w:pStyle w:val="38"/>
        <w:ind w:firstLine="0" w:firstLineChars="0"/>
        <w:contextualSpacing/>
        <w:outlineLvl w:val="2"/>
        <w:rPr>
          <w:rFonts w:ascii="黑体" w:hAnsi="黑体" w:eastAsia="黑体" w:cs="黑体"/>
        </w:rPr>
      </w:pPr>
      <w:r>
        <w:rPr>
          <w:rFonts w:hint="eastAsia" w:ascii="黑体" w:hAnsi="黑体" w:eastAsia="黑体" w:cs="黑体"/>
        </w:rPr>
        <w:t>6.2.4栽植技术</w:t>
      </w:r>
    </w:p>
    <w:p w14:paraId="0AB6FD2F">
      <w:pPr>
        <w:pStyle w:val="38"/>
        <w:contextualSpacing/>
        <w:rPr>
          <w:rFonts w:ascii="宋体" w:hAnsi="宋体" w:cs="宋体"/>
        </w:rPr>
      </w:pPr>
      <w:r>
        <w:rPr>
          <w:rFonts w:hint="eastAsia" w:ascii="宋体" w:hAnsi="宋体" w:cs="宋体"/>
        </w:rPr>
        <w:t>栽前回填树窝至比地表高10cm，让土壤提前沉降；定植时回填部分表土至合适高度后，放入苗木，根颈高出地表10～15cm，随后回填打细的表土，分层踩实、灌水覆膜。</w:t>
      </w:r>
    </w:p>
    <w:p w14:paraId="7D2098E0">
      <w:pPr>
        <w:pStyle w:val="30"/>
        <w:spacing w:before="312" w:after="312"/>
      </w:pPr>
      <w:r>
        <w:rPr>
          <w:rFonts w:hint="eastAsia"/>
        </w:rPr>
        <w:t>7   田间管理</w:t>
      </w:r>
    </w:p>
    <w:bookmarkEnd w:id="6"/>
    <w:p w14:paraId="3F6E180A">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7.1 灌溉</w:t>
      </w:r>
    </w:p>
    <w:p w14:paraId="3F86B0E9">
      <w:pPr>
        <w:pStyle w:val="38"/>
        <w:ind w:firstLine="0" w:firstLineChars="0"/>
        <w:contextualSpacing/>
        <w:outlineLvl w:val="2"/>
        <w:rPr>
          <w:rFonts w:ascii="黑体" w:hAnsi="黑体" w:eastAsia="黑体" w:cs="黑体"/>
        </w:rPr>
      </w:pPr>
      <w:r>
        <w:rPr>
          <w:rFonts w:hint="eastAsia" w:ascii="黑体" w:hAnsi="黑体" w:eastAsia="黑体" w:cs="黑体"/>
        </w:rPr>
        <w:t>7.1.1水质要求</w:t>
      </w:r>
    </w:p>
    <w:p w14:paraId="72ED6DF2">
      <w:pPr>
        <w:pStyle w:val="38"/>
        <w:contextualSpacing/>
        <w:rPr>
          <w:rFonts w:ascii="宋体" w:hAnsi="宋体" w:cs="宋体"/>
        </w:rPr>
      </w:pPr>
      <w:r>
        <w:rPr>
          <w:rFonts w:hint="eastAsia" w:ascii="宋体" w:hAnsi="宋体" w:cs="宋体"/>
        </w:rPr>
        <w:t>灌溉水要求无污染，水质达到 NY/T 391标准要求。</w:t>
      </w:r>
    </w:p>
    <w:p w14:paraId="1FA7D24B">
      <w:pPr>
        <w:pStyle w:val="38"/>
        <w:ind w:firstLine="0" w:firstLineChars="0"/>
        <w:contextualSpacing/>
        <w:outlineLvl w:val="2"/>
        <w:rPr>
          <w:rFonts w:ascii="黑体" w:hAnsi="黑体" w:eastAsia="黑体" w:cs="黑体"/>
        </w:rPr>
      </w:pPr>
      <w:r>
        <w:rPr>
          <w:rFonts w:hint="eastAsia" w:ascii="黑体" w:hAnsi="黑体" w:eastAsia="黑体" w:cs="黑体"/>
        </w:rPr>
        <w:t>7.1.2灌溉时期</w:t>
      </w:r>
    </w:p>
    <w:p w14:paraId="6202C067">
      <w:pPr>
        <w:pStyle w:val="38"/>
        <w:contextualSpacing/>
        <w:rPr>
          <w:rFonts w:ascii="宋体" w:hAnsi="宋体" w:cs="宋体"/>
        </w:rPr>
      </w:pPr>
      <w:r>
        <w:rPr>
          <w:rFonts w:hint="eastAsia" w:ascii="宋体" w:hAnsi="宋体" w:cs="宋体"/>
        </w:rPr>
        <w:t>春梢萌动期、开花期和果实膨大期，当土壤含水量砂土＜5%、壤土＜15%、粘土＜20%时，需及时灌水。高温期的灌水时间宜在傍晚至清晨进行。果实成熟前一个月，需保持土壤适度干旱，即使出现轻微卷叶也可不灌水。根区土壤水分含量维持在土壤田间持水量的60%～70%。幼树灌溉宜次多量少，提倡滴灌或微喷灌溉。晚秋和初冬土壤过于干旱时可适度灌溉，但应控制灌水量。</w:t>
      </w:r>
    </w:p>
    <w:p w14:paraId="6C2AC8DE">
      <w:pPr>
        <w:pStyle w:val="38"/>
        <w:ind w:firstLine="0" w:firstLineChars="0"/>
        <w:contextualSpacing/>
        <w:outlineLvl w:val="2"/>
        <w:rPr>
          <w:rFonts w:ascii="黑体" w:hAnsi="黑体" w:eastAsia="黑体" w:cs="黑体"/>
        </w:rPr>
      </w:pPr>
      <w:r>
        <w:rPr>
          <w:rFonts w:hint="eastAsia" w:ascii="黑体" w:hAnsi="黑体" w:eastAsia="黑体" w:cs="黑体"/>
        </w:rPr>
        <w:t>7.1.3排水</w:t>
      </w:r>
    </w:p>
    <w:p w14:paraId="3289E7EE">
      <w:pPr>
        <w:pStyle w:val="38"/>
        <w:contextualSpacing/>
        <w:rPr>
          <w:rFonts w:ascii="宋体" w:hAnsi="宋体" w:cs="宋体"/>
        </w:rPr>
      </w:pPr>
      <w:r>
        <w:rPr>
          <w:rFonts w:hint="eastAsia" w:ascii="宋体" w:hAnsi="宋体" w:cs="宋体"/>
        </w:rPr>
        <w:t>设置排水系统并及时清淤，多雨季节或果园积水时通过沟渠及时排水。</w:t>
      </w:r>
    </w:p>
    <w:p w14:paraId="0467D0EF">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7.2 施肥</w:t>
      </w:r>
    </w:p>
    <w:p w14:paraId="3CB79471">
      <w:pPr>
        <w:pStyle w:val="38"/>
        <w:ind w:firstLine="0" w:firstLineChars="0"/>
        <w:contextualSpacing/>
        <w:outlineLvl w:val="2"/>
        <w:rPr>
          <w:rFonts w:ascii="黑体" w:hAnsi="黑体" w:eastAsia="黑体" w:cs="黑体"/>
        </w:rPr>
      </w:pPr>
      <w:r>
        <w:rPr>
          <w:rFonts w:hint="eastAsia" w:ascii="黑体" w:hAnsi="黑体" w:eastAsia="黑体" w:cs="黑体"/>
        </w:rPr>
        <w:t>7.2.1施肥原则</w:t>
      </w:r>
    </w:p>
    <w:p w14:paraId="1F8804EE">
      <w:pPr>
        <w:pStyle w:val="38"/>
        <w:contextualSpacing/>
        <w:rPr>
          <w:rFonts w:ascii="宋体" w:hAnsi="宋体" w:cs="宋体"/>
        </w:rPr>
      </w:pPr>
      <w:r>
        <w:rPr>
          <w:rFonts w:hint="eastAsia" w:ascii="宋体" w:hAnsi="宋体" w:cs="宋体"/>
        </w:rPr>
        <w:t>应充分满足杂柑对各种营养元素的需要，提倡多施有机肥，合理施用无机肥，正确掌握施肥量、施肥时期和方法，提高肥料利用率，提倡叶片营养诊断配方施肥。优先推荐施用生物有机肥和沼液。人畜粪尿等农家肥，需经50℃以上高温发酵7d以上充分腐熟后方可使用。</w:t>
      </w:r>
    </w:p>
    <w:p w14:paraId="4B7CA60D">
      <w:pPr>
        <w:pStyle w:val="38"/>
        <w:ind w:firstLine="0" w:firstLineChars="0"/>
        <w:contextualSpacing/>
        <w:outlineLvl w:val="2"/>
        <w:rPr>
          <w:rFonts w:ascii="黑体" w:hAnsi="黑体" w:eastAsia="黑体" w:cs="黑体"/>
        </w:rPr>
      </w:pPr>
      <w:r>
        <w:rPr>
          <w:rFonts w:hint="eastAsia" w:ascii="黑体" w:hAnsi="黑体" w:eastAsia="黑体" w:cs="黑体"/>
        </w:rPr>
        <w:t>7.2.2施肥时期及方法</w:t>
      </w:r>
    </w:p>
    <w:p w14:paraId="0BF79EB7">
      <w:pPr>
        <w:pStyle w:val="38"/>
        <w:ind w:firstLine="0" w:firstLineChars="0"/>
        <w:contextualSpacing/>
        <w:rPr>
          <w:rFonts w:ascii="黑体" w:hAnsi="黑体" w:eastAsia="黑体" w:cs="黑体"/>
        </w:rPr>
      </w:pPr>
      <w:r>
        <w:rPr>
          <w:rFonts w:hint="eastAsia" w:ascii="黑体" w:hAnsi="黑体" w:eastAsia="黑体" w:cs="黑体"/>
        </w:rPr>
        <w:t>7.2.2.1幼年树</w:t>
      </w:r>
    </w:p>
    <w:p w14:paraId="5C402C21">
      <w:pPr>
        <w:pStyle w:val="38"/>
        <w:contextualSpacing/>
        <w:rPr>
          <w:rFonts w:ascii="宋体" w:hAnsi="宋体" w:cs="宋体"/>
        </w:rPr>
      </w:pPr>
      <w:r>
        <w:rPr>
          <w:rFonts w:hint="eastAsia" w:ascii="宋体" w:hAnsi="宋体" w:cs="宋体"/>
        </w:rPr>
        <w:t>每年追施6～8次，在每次新梢萌发前至老熟期间，各追施2～3次，以速效性氮肥为主，最好施用沼液，每次每亩浇施500kg左右。11月结合改土施有机肥一次，要求沟宽0.5m、深0.4m～0.8m，每亩施腐熟猪牛鸡粪2000kg、饼肥150kg、钙镁磷肥50kg，酸性土壤加施50kg生石灰。</w:t>
      </w:r>
    </w:p>
    <w:p w14:paraId="43FDBE95">
      <w:pPr>
        <w:pStyle w:val="38"/>
        <w:ind w:firstLine="0" w:firstLineChars="0"/>
        <w:contextualSpacing/>
        <w:rPr>
          <w:rFonts w:ascii="黑体" w:hAnsi="黑体" w:eastAsia="黑体" w:cs="黑体"/>
        </w:rPr>
      </w:pPr>
      <w:r>
        <w:rPr>
          <w:rFonts w:hint="eastAsia" w:ascii="黑体" w:hAnsi="黑体" w:eastAsia="黑体" w:cs="黑体"/>
        </w:rPr>
        <w:t>7.2.2.2成年结果树</w:t>
      </w:r>
    </w:p>
    <w:p w14:paraId="6B01BB9D">
      <w:pPr>
        <w:pStyle w:val="38"/>
        <w:contextualSpacing/>
        <w:rPr>
          <w:rFonts w:ascii="宋体" w:hAnsi="宋体" w:cs="宋体"/>
        </w:rPr>
      </w:pPr>
      <w:r>
        <w:rPr>
          <w:rFonts w:hint="eastAsia" w:ascii="宋体" w:hAnsi="宋体" w:cs="宋体"/>
        </w:rPr>
        <w:t>2月上旬春梢萌发前，开浅沟（沟深10cm）施硫酸钾复合肥及生物有机肥，每亩施硫酸钾复合肥25kg、生物有机肥25kg～50kg。</w:t>
      </w:r>
    </w:p>
    <w:p w14:paraId="7A767089">
      <w:pPr>
        <w:pStyle w:val="38"/>
        <w:contextualSpacing/>
        <w:rPr>
          <w:rFonts w:ascii="宋体" w:hAnsi="宋体" w:cs="宋体"/>
        </w:rPr>
      </w:pPr>
      <w:r>
        <w:rPr>
          <w:rFonts w:hint="eastAsia" w:ascii="宋体" w:hAnsi="宋体" w:cs="宋体"/>
        </w:rPr>
        <w:t>7月上旬，开环状沟（沟深20～30cm）施硫酸钾复合肥及生物有机肥，每亩施硫酸钾复合肥25kg、生物有机肥25～50kg。</w:t>
      </w:r>
    </w:p>
    <w:p w14:paraId="26EB545E">
      <w:pPr>
        <w:pStyle w:val="38"/>
        <w:contextualSpacing/>
        <w:rPr>
          <w:rFonts w:ascii="宋体" w:hAnsi="宋体" w:cs="宋体"/>
        </w:rPr>
      </w:pPr>
      <w:r>
        <w:rPr>
          <w:rFonts w:hint="eastAsia" w:ascii="宋体" w:hAnsi="宋体" w:cs="宋体"/>
        </w:rPr>
        <w:t>于春夏秋梢萌发前追施一次沼液，春夏秋梢老熟期再追施一次沼液，每次每亩用沼液500kg。</w:t>
      </w:r>
    </w:p>
    <w:p w14:paraId="253EF68E">
      <w:pPr>
        <w:pStyle w:val="38"/>
        <w:contextualSpacing/>
        <w:rPr>
          <w:rFonts w:ascii="宋体" w:hAnsi="宋体" w:cs="宋体"/>
        </w:rPr>
      </w:pPr>
      <w:r>
        <w:rPr>
          <w:rFonts w:hint="eastAsia" w:ascii="宋体" w:hAnsi="宋体" w:cs="宋体"/>
        </w:rPr>
        <w:t>10～11月中旬前，开深沟（沟深60～70cm）施基肥，每亩施腐熟猪牛鸡粪2000kg、钙镁磷肥50kg、饼肥150kg，酸性土壤加施50kg生石灰。</w:t>
      </w:r>
    </w:p>
    <w:p w14:paraId="1D43ADAD">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7.3病虫草害防治</w:t>
      </w:r>
    </w:p>
    <w:p w14:paraId="740AB4C1">
      <w:pPr>
        <w:pStyle w:val="38"/>
        <w:ind w:right="315" w:rightChars="150" w:firstLine="0" w:firstLineChars="0"/>
        <w:contextualSpacing/>
        <w:outlineLvl w:val="2"/>
        <w:rPr>
          <w:rFonts w:ascii="黑体" w:hAnsi="黑体" w:eastAsia="黑体" w:cs="黑体"/>
        </w:rPr>
      </w:pPr>
      <w:r>
        <w:rPr>
          <w:rFonts w:hint="eastAsia" w:ascii="黑体" w:hAnsi="黑体" w:eastAsia="黑体" w:cs="黑体"/>
        </w:rPr>
        <w:t>7.3.1 防治原则</w:t>
      </w:r>
    </w:p>
    <w:p w14:paraId="7D76BC1A">
      <w:pPr>
        <w:pStyle w:val="38"/>
        <w:ind w:right="315" w:rightChars="150"/>
        <w:contextualSpacing/>
        <w:rPr>
          <w:rFonts w:ascii="宋体" w:hAnsi="宋体" w:cs="宋体"/>
        </w:rPr>
      </w:pPr>
      <w:r>
        <w:rPr>
          <w:rFonts w:hint="eastAsia" w:ascii="宋体" w:hAnsi="宋体" w:cs="宋体"/>
        </w:rPr>
        <w:t>应坚持“预防为主，综合防治”的原则，优先采用农业措施，尽量利用物理和生物措施。必要时，合理使用低风险农药。农药的使用应符合NY/T 393的规定。</w:t>
      </w:r>
    </w:p>
    <w:p w14:paraId="1EBCAFF6">
      <w:pPr>
        <w:pStyle w:val="38"/>
        <w:ind w:right="315" w:rightChars="150" w:firstLine="0" w:firstLineChars="0"/>
        <w:contextualSpacing/>
        <w:outlineLvl w:val="2"/>
        <w:rPr>
          <w:rFonts w:ascii="黑体" w:hAnsi="黑体" w:eastAsia="黑体" w:cs="黑体"/>
        </w:rPr>
      </w:pPr>
      <w:r>
        <w:rPr>
          <w:rFonts w:hint="eastAsia" w:ascii="黑体" w:hAnsi="黑体" w:eastAsia="黑体" w:cs="黑体"/>
        </w:rPr>
        <w:t>7.3.2常见病虫草害</w:t>
      </w:r>
    </w:p>
    <w:p w14:paraId="7F3B5F88">
      <w:pPr>
        <w:pStyle w:val="38"/>
        <w:ind w:right="315" w:rightChars="150" w:firstLine="0" w:firstLineChars="0"/>
        <w:contextualSpacing/>
        <w:rPr>
          <w:rFonts w:ascii="黑体" w:hAnsi="黑体" w:eastAsia="黑体" w:cs="黑体"/>
        </w:rPr>
      </w:pPr>
      <w:r>
        <w:rPr>
          <w:rFonts w:hint="eastAsia" w:ascii="黑体" w:hAnsi="黑体" w:eastAsia="黑体" w:cs="黑体"/>
        </w:rPr>
        <w:t>7.3.2.1病害</w:t>
      </w:r>
    </w:p>
    <w:p w14:paraId="5A926AB6">
      <w:pPr>
        <w:pStyle w:val="38"/>
        <w:ind w:right="315" w:rightChars="150"/>
        <w:contextualSpacing/>
        <w:rPr>
          <w:rFonts w:ascii="宋体" w:hAnsi="宋体" w:cs="宋体"/>
        </w:rPr>
      </w:pPr>
      <w:r>
        <w:rPr>
          <w:rFonts w:hint="eastAsia" w:ascii="宋体" w:hAnsi="宋体" w:cs="宋体"/>
        </w:rPr>
        <w:t>常见病害有溃疡病、炭疽病、疮痂病、黑斑病等。</w:t>
      </w:r>
    </w:p>
    <w:p w14:paraId="0CDB2488">
      <w:pPr>
        <w:pStyle w:val="38"/>
        <w:ind w:right="315" w:rightChars="150" w:firstLine="0" w:firstLineChars="0"/>
        <w:contextualSpacing/>
        <w:rPr>
          <w:rFonts w:ascii="黑体" w:hAnsi="黑体" w:eastAsia="黑体" w:cs="黑体"/>
        </w:rPr>
      </w:pPr>
      <w:r>
        <w:rPr>
          <w:rFonts w:hint="eastAsia" w:ascii="黑体" w:hAnsi="黑体" w:eastAsia="黑体" w:cs="黑体"/>
        </w:rPr>
        <w:t>7.3.2.2虫害</w:t>
      </w:r>
    </w:p>
    <w:p w14:paraId="4D8EA647">
      <w:pPr>
        <w:pStyle w:val="38"/>
        <w:ind w:right="315" w:rightChars="150"/>
        <w:contextualSpacing/>
        <w:rPr>
          <w:rFonts w:ascii="宋体" w:hAnsi="宋体" w:cs="宋体"/>
        </w:rPr>
      </w:pPr>
      <w:r>
        <w:rPr>
          <w:rFonts w:hint="eastAsia" w:ascii="宋体" w:hAnsi="宋体" w:cs="宋体"/>
        </w:rPr>
        <w:t>常见主要有红蜘蛛、蚜虫、花蕾蛆、蚧壳虫、粉虱、金龟子、天牛、蛾类等。</w:t>
      </w:r>
    </w:p>
    <w:p w14:paraId="16F3749B">
      <w:pPr>
        <w:pStyle w:val="38"/>
        <w:ind w:right="315" w:rightChars="150" w:firstLine="0" w:firstLineChars="0"/>
        <w:contextualSpacing/>
        <w:rPr>
          <w:rFonts w:ascii="黑体" w:hAnsi="黑体" w:eastAsia="黑体" w:cs="黑体"/>
        </w:rPr>
      </w:pPr>
      <w:r>
        <w:rPr>
          <w:rFonts w:hint="eastAsia" w:ascii="黑体" w:hAnsi="黑体" w:eastAsia="黑体" w:cs="黑体"/>
        </w:rPr>
        <w:t>7.3.2.3草害</w:t>
      </w:r>
    </w:p>
    <w:p w14:paraId="3C656557">
      <w:pPr>
        <w:pStyle w:val="38"/>
        <w:ind w:right="315" w:rightChars="150"/>
        <w:contextualSpacing/>
        <w:rPr>
          <w:rFonts w:ascii="宋体" w:hAnsi="宋体" w:cs="宋体"/>
        </w:rPr>
      </w:pPr>
      <w:r>
        <w:rPr>
          <w:rFonts w:hint="eastAsia" w:ascii="宋体" w:hAnsi="宋体" w:cs="宋体"/>
        </w:rPr>
        <w:t>主要为田间杂草。</w:t>
      </w:r>
    </w:p>
    <w:p w14:paraId="01D95045">
      <w:pPr>
        <w:pStyle w:val="38"/>
        <w:ind w:right="315" w:rightChars="150" w:firstLine="0" w:firstLineChars="0"/>
        <w:contextualSpacing/>
        <w:outlineLvl w:val="2"/>
        <w:rPr>
          <w:rFonts w:ascii="黑体" w:hAnsi="黑体" w:eastAsia="黑体" w:cs="黑体"/>
        </w:rPr>
      </w:pPr>
      <w:r>
        <w:rPr>
          <w:rFonts w:hint="eastAsia" w:ascii="黑体" w:hAnsi="黑体" w:eastAsia="黑体" w:cs="黑体"/>
        </w:rPr>
        <w:t>7.3.3防治措施</w:t>
      </w:r>
    </w:p>
    <w:p w14:paraId="14D31CC8">
      <w:pPr>
        <w:pStyle w:val="38"/>
        <w:ind w:right="315" w:rightChars="150" w:firstLine="0" w:firstLineChars="0"/>
        <w:contextualSpacing/>
        <w:rPr>
          <w:rFonts w:ascii="黑体" w:hAnsi="黑体" w:eastAsia="黑体" w:cs="黑体"/>
        </w:rPr>
      </w:pPr>
      <w:r>
        <w:rPr>
          <w:rFonts w:hint="eastAsia" w:ascii="黑体" w:hAnsi="黑体" w:eastAsia="黑体" w:cs="黑体"/>
        </w:rPr>
        <w:t>7.3.3.1农业防治</w:t>
      </w:r>
    </w:p>
    <w:p w14:paraId="09B02023">
      <w:pPr>
        <w:pStyle w:val="38"/>
        <w:ind w:right="315" w:rightChars="150"/>
        <w:contextualSpacing/>
        <w:rPr>
          <w:rFonts w:ascii="宋体" w:hAnsi="宋体" w:cs="宋体"/>
        </w:rPr>
      </w:pPr>
      <w:r>
        <w:rPr>
          <w:rFonts w:hint="eastAsia" w:ascii="宋体" w:hAnsi="宋体" w:cs="宋体"/>
        </w:rPr>
        <w:t>选用抗病品种、砧木。实施翻土、修剪、清洁果园、排水、控梢等农业措施，减少病虫源，加强栽培管理，增强树势，提高树体自身抗病虫能力。提高采果操作质量，减少果实伤口，降低果实腐烂率。对杂柑施用的农家肥，要充分腐熟后施用，通过高温发酵杀死杂草种子，为防止果园外杂草的侵入，需及时清除果园周围的杂草。</w:t>
      </w:r>
    </w:p>
    <w:p w14:paraId="4E241329">
      <w:pPr>
        <w:pStyle w:val="38"/>
        <w:ind w:right="315" w:rightChars="150" w:firstLine="0" w:firstLineChars="0"/>
        <w:contextualSpacing/>
        <w:rPr>
          <w:rFonts w:ascii="黑体" w:hAnsi="黑体" w:eastAsia="黑体" w:cs="黑体"/>
        </w:rPr>
      </w:pPr>
      <w:r>
        <w:rPr>
          <w:rFonts w:hint="eastAsia" w:ascii="黑体" w:hAnsi="黑体" w:eastAsia="黑体" w:cs="黑体"/>
        </w:rPr>
        <w:t>7.3.3.2物理防治</w:t>
      </w:r>
    </w:p>
    <w:p w14:paraId="34267769">
      <w:pPr>
        <w:pStyle w:val="38"/>
        <w:ind w:right="315" w:rightChars="150"/>
        <w:contextualSpacing/>
        <w:rPr>
          <w:rFonts w:ascii="宋体" w:hAnsi="宋体" w:cs="宋体"/>
        </w:rPr>
      </w:pPr>
      <w:r>
        <w:rPr>
          <w:rFonts w:hint="eastAsia" w:ascii="宋体" w:hAnsi="宋体" w:cs="宋体"/>
        </w:rPr>
        <w:t>可用杀虫灯引诱或驱避吸果夜蛾、金龟子、卷叶蛾等趋光性害虫；可利用害虫的趋化性，用糖、酒、醋液诱杀害虫；可集中种植害虫中间寄主诱杀害虫；人工捕捉天牛、金龟子等害虫；结合果园浅耕作业，在杂草结子前人工铲除田间杂草。</w:t>
      </w:r>
    </w:p>
    <w:p w14:paraId="49042DA2">
      <w:pPr>
        <w:pStyle w:val="38"/>
        <w:ind w:right="315" w:rightChars="150" w:firstLine="0" w:firstLineChars="0"/>
        <w:contextualSpacing/>
        <w:rPr>
          <w:rFonts w:ascii="黑体" w:hAnsi="黑体" w:eastAsia="黑体" w:cs="黑体"/>
        </w:rPr>
      </w:pPr>
      <w:r>
        <w:rPr>
          <w:rFonts w:hint="eastAsia" w:ascii="黑体" w:hAnsi="黑体" w:eastAsia="黑体" w:cs="黑体"/>
        </w:rPr>
        <w:t>7.3.3.3生物防治</w:t>
      </w:r>
    </w:p>
    <w:p w14:paraId="7B9D35A0">
      <w:pPr>
        <w:pStyle w:val="38"/>
        <w:ind w:right="315" w:rightChars="150"/>
        <w:contextualSpacing/>
        <w:rPr>
          <w:rFonts w:ascii="宋体" w:hAnsi="宋体" w:cs="宋体"/>
        </w:rPr>
      </w:pPr>
      <w:r>
        <w:rPr>
          <w:rFonts w:hint="eastAsia" w:ascii="宋体" w:hAnsi="宋体" w:cs="宋体"/>
        </w:rPr>
        <w:t>改善果园生态环境，保护瓢虫、草蛉、捕食螨等天敌；人工引移、繁殖释放天敌昆虫；利用有益微生物或其代谢物（如性诱剂）诱杀害虫。养殖家禽除草，果园内饲养草食性家禽，不仅可以除草，还可以增加果园土壤有机质含量，提高土壤肥力。</w:t>
      </w:r>
    </w:p>
    <w:p w14:paraId="569ADA16">
      <w:pPr>
        <w:pStyle w:val="38"/>
        <w:ind w:right="315" w:rightChars="150" w:firstLine="0" w:firstLineChars="0"/>
        <w:contextualSpacing/>
        <w:rPr>
          <w:rFonts w:ascii="黑体" w:hAnsi="黑体" w:eastAsia="黑体" w:cs="黑体"/>
        </w:rPr>
      </w:pPr>
      <w:r>
        <w:rPr>
          <w:rFonts w:hint="eastAsia" w:ascii="黑体" w:hAnsi="黑体" w:eastAsia="黑体" w:cs="黑体"/>
        </w:rPr>
        <w:t>7.3.3.4化学防治</w:t>
      </w:r>
    </w:p>
    <w:p w14:paraId="597854FD">
      <w:pPr>
        <w:pStyle w:val="38"/>
        <w:ind w:right="315" w:rightChars="150"/>
        <w:contextualSpacing/>
        <w:rPr>
          <w:rFonts w:ascii="宋体" w:hAnsi="宋体" w:cs="宋体"/>
        </w:rPr>
      </w:pPr>
      <w:r>
        <w:rPr>
          <w:rFonts w:hint="eastAsia" w:ascii="宋体" w:hAnsi="宋体" w:cs="宋体"/>
        </w:rPr>
        <w:t>加强病虫害的预测预报，适时用药；注重药剂的轮换使用和合理混用；严格按照农药安全使用间隔期、规定用药浓度用药，严格掌握施药浓度，保证喷雾、撒施均匀。对化学农药的使用情况进行严格、准确的记录，主要病虫害化学防治具体方案见附录A。</w:t>
      </w:r>
    </w:p>
    <w:p w14:paraId="60D2E18C">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7.4其他管理措施</w:t>
      </w:r>
    </w:p>
    <w:p w14:paraId="54A591CC">
      <w:pPr>
        <w:pStyle w:val="38"/>
        <w:ind w:firstLine="0" w:firstLineChars="0"/>
        <w:contextualSpacing/>
        <w:outlineLvl w:val="2"/>
        <w:rPr>
          <w:rFonts w:ascii="黑体" w:hAnsi="黑体" w:eastAsia="黑体" w:cs="黑体"/>
        </w:rPr>
      </w:pPr>
      <w:r>
        <w:rPr>
          <w:rFonts w:hint="eastAsia" w:ascii="黑体" w:hAnsi="黑体" w:eastAsia="黑体" w:cs="黑体"/>
        </w:rPr>
        <w:t>7.4.1土壤管理</w:t>
      </w:r>
    </w:p>
    <w:p w14:paraId="20C49815">
      <w:pPr>
        <w:pStyle w:val="38"/>
        <w:ind w:firstLine="0" w:firstLineChars="0"/>
        <w:contextualSpacing/>
        <w:rPr>
          <w:rFonts w:ascii="黑体" w:hAnsi="黑体" w:eastAsia="黑体" w:cs="黑体"/>
        </w:rPr>
      </w:pPr>
      <w:r>
        <w:rPr>
          <w:rFonts w:hint="eastAsia" w:ascii="黑体" w:hAnsi="黑体" w:eastAsia="黑体" w:cs="黑体"/>
        </w:rPr>
        <w:t>7.4.1.1深翻扩穴，熟化土壤</w:t>
      </w:r>
    </w:p>
    <w:p w14:paraId="4DE84D5C">
      <w:pPr>
        <w:pStyle w:val="38"/>
        <w:contextualSpacing/>
        <w:rPr>
          <w:rFonts w:ascii="宋体" w:hAnsi="宋体" w:cs="宋体"/>
        </w:rPr>
      </w:pPr>
      <w:r>
        <w:rPr>
          <w:rFonts w:hint="eastAsia" w:ascii="宋体" w:hAnsi="宋体" w:cs="宋体"/>
        </w:rPr>
        <w:t>深翻扩穴一般在秋梢停止生长后进行，从树冠外围滴水线处开始，逐年向外扩展宽0.5m、深0.6～0.8m的扩穴沟。回填时混以绿肥、秸秆20～30公斤，腐熟的人畜粪尿、堆肥、厩肥、饼肥等25公斤，钙镁磷肥1～2公斤。酸性土加1公斤生石灰。回填时表土放在底层，心土放在表层，然后对穴内灌足水分，促进土壤熟化。</w:t>
      </w:r>
    </w:p>
    <w:p w14:paraId="203C49EC">
      <w:pPr>
        <w:pStyle w:val="38"/>
        <w:ind w:firstLine="0" w:firstLineChars="0"/>
        <w:contextualSpacing/>
        <w:rPr>
          <w:rFonts w:ascii="黑体" w:hAnsi="黑体" w:eastAsia="黑体" w:cs="黑体"/>
        </w:rPr>
      </w:pPr>
      <w:r>
        <w:rPr>
          <w:rFonts w:hint="eastAsia" w:ascii="黑体" w:hAnsi="黑体" w:eastAsia="黑体" w:cs="黑体"/>
        </w:rPr>
        <w:t>7.4.1.2间作或生草</w:t>
      </w:r>
    </w:p>
    <w:p w14:paraId="146BC2A1">
      <w:pPr>
        <w:pStyle w:val="38"/>
        <w:contextualSpacing/>
        <w:rPr>
          <w:rFonts w:ascii="宋体" w:hAnsi="宋体" w:cs="宋体"/>
        </w:rPr>
      </w:pPr>
      <w:r>
        <w:rPr>
          <w:rFonts w:hint="eastAsia" w:ascii="宋体" w:hAnsi="宋体" w:cs="宋体"/>
        </w:rPr>
        <w:t>柑橘园宜实行间作或生草制，种植的间作物或草类应选择与柑橘无共生性病虫、浅根、矮秆的品种，以豆科植物、禾本科牧草和藿香蓟为宜，适时刈割翻埋于土壤中或覆盖于树盘。</w:t>
      </w:r>
    </w:p>
    <w:p w14:paraId="1EFDA417">
      <w:pPr>
        <w:pStyle w:val="38"/>
        <w:ind w:firstLine="0" w:firstLineChars="0"/>
        <w:contextualSpacing/>
        <w:rPr>
          <w:rFonts w:ascii="黑体" w:hAnsi="黑体" w:eastAsia="黑体" w:cs="黑体"/>
        </w:rPr>
      </w:pPr>
      <w:r>
        <w:rPr>
          <w:rFonts w:hint="eastAsia" w:ascii="黑体" w:hAnsi="黑体" w:eastAsia="黑体" w:cs="黑体"/>
        </w:rPr>
        <w:t>7.4.1.3覆盖与培土</w:t>
      </w:r>
    </w:p>
    <w:p w14:paraId="25A4B45E">
      <w:pPr>
        <w:pStyle w:val="38"/>
        <w:contextualSpacing/>
        <w:rPr>
          <w:rFonts w:ascii="宋体" w:hAnsi="宋体" w:cs="宋体"/>
        </w:rPr>
      </w:pPr>
      <w:r>
        <w:rPr>
          <w:rFonts w:hint="eastAsia" w:ascii="宋体" w:hAnsi="宋体" w:cs="宋体"/>
        </w:rPr>
        <w:t>高温或干旱季节，适时在树盘内用秸秆等覆盖，厚度10cm～15cm，覆盖物应与根颈保持10cm左右的距离，避免烧根。培土在冬季中耕松土后进行，可培入塘泥、河泥、沙土或柑橘园附近的肥沃土壤，厚度8cm～10cm。</w:t>
      </w:r>
    </w:p>
    <w:p w14:paraId="166DC1B2">
      <w:pPr>
        <w:pStyle w:val="38"/>
        <w:ind w:firstLine="0" w:firstLineChars="0"/>
        <w:contextualSpacing/>
        <w:rPr>
          <w:rFonts w:ascii="黑体" w:hAnsi="黑体" w:eastAsia="黑体" w:cs="黑体"/>
        </w:rPr>
      </w:pPr>
      <w:r>
        <w:rPr>
          <w:rFonts w:hint="eastAsia" w:ascii="黑体" w:hAnsi="黑体" w:eastAsia="黑体" w:cs="黑体"/>
        </w:rPr>
        <w:t>7.4.1.4中耕</w:t>
      </w:r>
    </w:p>
    <w:p w14:paraId="244C8AF6">
      <w:pPr>
        <w:pStyle w:val="38"/>
        <w:contextualSpacing/>
        <w:rPr>
          <w:rFonts w:ascii="宋体" w:hAnsi="宋体" w:cs="宋体"/>
        </w:rPr>
      </w:pPr>
      <w:r>
        <w:rPr>
          <w:rFonts w:hint="eastAsia" w:ascii="宋体" w:hAnsi="宋体" w:cs="宋体"/>
        </w:rPr>
        <w:t>可在夏、秋季和采果后进行，每年中耕3次～4次，保持土壤疏松通气无杂草。中耕深度8cm～15cm，坡地宜深些，平地宜浅些。雨季不宜中耕。</w:t>
      </w:r>
    </w:p>
    <w:p w14:paraId="17EB05DD">
      <w:pPr>
        <w:pStyle w:val="38"/>
        <w:ind w:firstLine="0" w:firstLineChars="0"/>
        <w:contextualSpacing/>
        <w:outlineLvl w:val="2"/>
        <w:rPr>
          <w:rFonts w:ascii="黑体" w:hAnsi="黑体" w:eastAsia="黑体" w:cs="黑体"/>
        </w:rPr>
      </w:pPr>
      <w:r>
        <w:rPr>
          <w:rFonts w:hint="eastAsia" w:ascii="黑体" w:hAnsi="黑体" w:eastAsia="黑体" w:cs="黑体"/>
        </w:rPr>
        <w:t>7.4.2整形修剪</w:t>
      </w:r>
    </w:p>
    <w:p w14:paraId="2AE793CC">
      <w:pPr>
        <w:pStyle w:val="38"/>
        <w:ind w:firstLine="0" w:firstLineChars="0"/>
        <w:contextualSpacing/>
        <w:rPr>
          <w:rFonts w:ascii="黑体" w:hAnsi="黑体" w:eastAsia="黑体" w:cs="黑体"/>
        </w:rPr>
      </w:pPr>
      <w:r>
        <w:rPr>
          <w:rFonts w:hint="eastAsia" w:ascii="黑体" w:hAnsi="黑体" w:eastAsia="黑体" w:cs="黑体"/>
        </w:rPr>
        <w:t>7.4.2.1原则</w:t>
      </w:r>
    </w:p>
    <w:p w14:paraId="4185B8A9">
      <w:pPr>
        <w:pStyle w:val="38"/>
        <w:contextualSpacing/>
        <w:rPr>
          <w:rFonts w:ascii="宋体" w:hAnsi="宋体" w:cs="宋体"/>
        </w:rPr>
      </w:pPr>
      <w:r>
        <w:rPr>
          <w:rFonts w:hint="eastAsia" w:ascii="宋体" w:hAnsi="宋体" w:cs="宋体"/>
        </w:rPr>
        <w:t>因地制宜，因树因品种修剪，达到通风透光、立体结果、省力增效的目的。</w:t>
      </w:r>
    </w:p>
    <w:p w14:paraId="4B5DCF2B">
      <w:pPr>
        <w:pStyle w:val="38"/>
        <w:ind w:firstLine="0" w:firstLineChars="0"/>
        <w:contextualSpacing/>
        <w:rPr>
          <w:rFonts w:ascii="黑体" w:hAnsi="黑体" w:eastAsia="黑体" w:cs="黑体"/>
        </w:rPr>
      </w:pPr>
      <w:r>
        <w:rPr>
          <w:rFonts w:hint="eastAsia" w:ascii="黑体" w:hAnsi="黑体" w:eastAsia="黑体" w:cs="黑体"/>
        </w:rPr>
        <w:t>7.4.2.2适宜树形</w:t>
      </w:r>
    </w:p>
    <w:p w14:paraId="1012C77E">
      <w:pPr>
        <w:pStyle w:val="38"/>
        <w:contextualSpacing/>
        <w:rPr>
          <w:rFonts w:ascii="宋体" w:hAnsi="宋体" w:cs="宋体"/>
        </w:rPr>
      </w:pPr>
      <w:r>
        <w:rPr>
          <w:rFonts w:hint="eastAsia" w:ascii="宋体" w:hAnsi="宋体" w:cs="宋体"/>
        </w:rPr>
        <w:t>适宜树形为自然开心形，干高20cm～40cm，主枝（3个～4个）在主干上的分布错落有致。主枝分枝角30°～50°，各主枝上配置副主枝2个～3个，一般在第三主枝形成后，即将类中央干剪除或扭向一边作结果枝组。</w:t>
      </w:r>
    </w:p>
    <w:p w14:paraId="1A55ADE6">
      <w:pPr>
        <w:pStyle w:val="38"/>
        <w:ind w:firstLine="0" w:firstLineChars="0"/>
        <w:contextualSpacing/>
        <w:rPr>
          <w:rFonts w:ascii="黑体" w:hAnsi="黑体" w:eastAsia="黑体" w:cs="黑体"/>
        </w:rPr>
      </w:pPr>
      <w:r>
        <w:rPr>
          <w:rFonts w:hint="eastAsia" w:ascii="黑体" w:hAnsi="黑体" w:eastAsia="黑体" w:cs="黑体"/>
        </w:rPr>
        <w:t>7.4.2.3修剪时期</w:t>
      </w:r>
    </w:p>
    <w:p w14:paraId="419A0050">
      <w:pPr>
        <w:pStyle w:val="38"/>
        <w:contextualSpacing/>
        <w:rPr>
          <w:rFonts w:ascii="宋体" w:hAnsi="宋体" w:cs="宋体"/>
        </w:rPr>
      </w:pPr>
      <w:r>
        <w:rPr>
          <w:rFonts w:hint="eastAsia" w:ascii="宋体" w:hAnsi="宋体" w:cs="宋体"/>
        </w:rPr>
        <w:t>采果后至翌年春芽萌发前的修剪，一般在采果后进行；生长期修剪在春梢萌发至秋梢停止生长期间进行。</w:t>
      </w:r>
    </w:p>
    <w:p w14:paraId="5F2AD1E7">
      <w:pPr>
        <w:pStyle w:val="38"/>
        <w:ind w:firstLine="0" w:firstLineChars="0"/>
        <w:contextualSpacing/>
        <w:rPr>
          <w:rFonts w:ascii="黑体" w:hAnsi="黑体" w:eastAsia="黑体" w:cs="黑体"/>
        </w:rPr>
      </w:pPr>
      <w:r>
        <w:rPr>
          <w:rFonts w:hint="eastAsia" w:ascii="黑体" w:hAnsi="黑体" w:eastAsia="黑体" w:cs="黑体"/>
        </w:rPr>
        <w:t>7.4.2.4修剪要点</w:t>
      </w:r>
    </w:p>
    <w:p w14:paraId="4C983C19">
      <w:pPr>
        <w:pStyle w:val="38"/>
        <w:ind w:firstLine="0" w:firstLineChars="0"/>
        <w:contextualSpacing/>
        <w:rPr>
          <w:rFonts w:ascii="黑体" w:hAnsi="黑体" w:eastAsia="黑体" w:cs="黑体"/>
        </w:rPr>
      </w:pPr>
      <w:r>
        <w:rPr>
          <w:rFonts w:hint="eastAsia" w:ascii="黑体" w:hAnsi="黑体" w:eastAsia="黑体" w:cs="黑体"/>
        </w:rPr>
        <w:t>7.4.2.4.1幼树期</w:t>
      </w:r>
    </w:p>
    <w:p w14:paraId="53D09A72">
      <w:pPr>
        <w:pStyle w:val="38"/>
        <w:contextualSpacing/>
        <w:rPr>
          <w:rFonts w:ascii="宋体" w:hAnsi="宋体" w:cs="宋体"/>
        </w:rPr>
      </w:pPr>
      <w:r>
        <w:rPr>
          <w:rFonts w:hint="eastAsia" w:ascii="宋体" w:hAnsi="宋体" w:cs="宋体"/>
        </w:rPr>
        <w:t>以轻剪为主，以抹芽、轻度短截等方式调节各主枝之间生长势的平衡。轻剪其余枝梢，避免过多的疏剪和重短截，内膛枝和树冠中下部较弱的枝梢一般保留。</w:t>
      </w:r>
    </w:p>
    <w:p w14:paraId="258581EF">
      <w:pPr>
        <w:pStyle w:val="38"/>
        <w:ind w:firstLine="0" w:firstLineChars="0"/>
        <w:contextualSpacing/>
        <w:rPr>
          <w:rFonts w:ascii="黑体" w:hAnsi="黑体" w:eastAsia="黑体" w:cs="黑体"/>
        </w:rPr>
      </w:pPr>
      <w:r>
        <w:rPr>
          <w:rFonts w:hint="eastAsia" w:ascii="黑体" w:hAnsi="黑体" w:eastAsia="黑体" w:cs="黑体"/>
        </w:rPr>
        <w:t>7.4.2.4.2初结果期</w:t>
      </w:r>
    </w:p>
    <w:p w14:paraId="28554293">
      <w:pPr>
        <w:pStyle w:val="38"/>
        <w:contextualSpacing/>
        <w:rPr>
          <w:rFonts w:ascii="宋体" w:hAnsi="宋体" w:cs="宋体"/>
        </w:rPr>
      </w:pPr>
      <w:r>
        <w:rPr>
          <w:rFonts w:hint="eastAsia" w:ascii="宋体" w:hAnsi="宋体" w:cs="宋体"/>
        </w:rPr>
        <w:t>继续选择和短截处理各级骨干枝延长枝，抹除夏梢，促发健壮秋梢。对过长的营养枝留8～10片叶及时摘心，回缩或短截结果后枝组。秋季对旺长树采用环割、断根、控水等促花措施。</w:t>
      </w:r>
    </w:p>
    <w:p w14:paraId="25E7D192">
      <w:pPr>
        <w:pStyle w:val="38"/>
        <w:ind w:firstLine="0" w:firstLineChars="0"/>
        <w:contextualSpacing/>
        <w:rPr>
          <w:rFonts w:ascii="黑体" w:hAnsi="黑体" w:eastAsia="黑体" w:cs="黑体"/>
        </w:rPr>
      </w:pPr>
      <w:r>
        <w:rPr>
          <w:rFonts w:hint="eastAsia" w:ascii="黑体" w:hAnsi="黑体" w:eastAsia="黑体" w:cs="黑体"/>
        </w:rPr>
        <w:t>7.4.2.4.3盛果期</w:t>
      </w:r>
    </w:p>
    <w:p w14:paraId="61969E96">
      <w:pPr>
        <w:pStyle w:val="38"/>
        <w:contextualSpacing/>
        <w:rPr>
          <w:rFonts w:ascii="宋体" w:hAnsi="宋体" w:cs="宋体"/>
        </w:rPr>
      </w:pPr>
      <w:r>
        <w:rPr>
          <w:rFonts w:hint="eastAsia" w:ascii="宋体" w:hAnsi="宋体" w:cs="宋体"/>
        </w:rPr>
        <w:t>及时回缩结果枝组、落花落果枝组和衰退枝组。剪除枯枝、病虫枝。对较拥挤的骨干枝适当疏剪开出“天窗”，将光线引入内膛。对当年抽生的夏、秋梢营养枝，通过短截其中部分枝梢调节翌年产量，防止大小年结果。花量较大时适量疏花或疏果。对无叶枝组，在重疏删基础上，对大部分或全部枝梢短截处理。</w:t>
      </w:r>
    </w:p>
    <w:p w14:paraId="6C493E3D">
      <w:pPr>
        <w:pStyle w:val="38"/>
        <w:ind w:firstLine="0" w:firstLineChars="0"/>
        <w:contextualSpacing/>
        <w:rPr>
          <w:rFonts w:ascii="黑体" w:hAnsi="黑体" w:eastAsia="黑体" w:cs="黑体"/>
        </w:rPr>
      </w:pPr>
      <w:r>
        <w:rPr>
          <w:rFonts w:hint="eastAsia" w:ascii="黑体" w:hAnsi="黑体" w:eastAsia="黑体" w:cs="黑体"/>
        </w:rPr>
        <w:t>7.4.2.4.4衰老更新期</w:t>
      </w:r>
    </w:p>
    <w:p w14:paraId="651C1969">
      <w:pPr>
        <w:pStyle w:val="38"/>
        <w:contextualSpacing/>
        <w:rPr>
          <w:rFonts w:ascii="宋体" w:hAnsi="宋体" w:cs="宋体"/>
        </w:rPr>
      </w:pPr>
      <w:r>
        <w:rPr>
          <w:rFonts w:hint="eastAsia" w:ascii="宋体" w:hAnsi="宋体" w:cs="宋体"/>
        </w:rPr>
        <w:t>应减少树体花量，甚至舍弃全部产量以恢复树势。在回缩衰弱枝组的基础上，疏删密弱枝群，短截所有夏、秋梢营养枝和有叶结果枝。极衰弱植株在萌芽前对侧枝或主枝进行回缩处理。衰老树经更新修剪后促发的夏、秋梢应进行短强、留中、去弱处理。</w:t>
      </w:r>
    </w:p>
    <w:p w14:paraId="484373AC">
      <w:pPr>
        <w:pStyle w:val="38"/>
        <w:ind w:firstLine="0" w:firstLineChars="0"/>
        <w:contextualSpacing/>
        <w:outlineLvl w:val="2"/>
        <w:rPr>
          <w:rFonts w:ascii="黑体" w:hAnsi="黑体" w:eastAsia="黑体" w:cs="黑体"/>
        </w:rPr>
      </w:pPr>
      <w:r>
        <w:rPr>
          <w:rFonts w:hint="eastAsia" w:ascii="黑体" w:hAnsi="黑体" w:eastAsia="黑体" w:cs="黑体"/>
        </w:rPr>
        <w:t>7.4.3花果管理</w:t>
      </w:r>
    </w:p>
    <w:p w14:paraId="0346BEA4">
      <w:pPr>
        <w:pStyle w:val="38"/>
        <w:ind w:firstLine="0" w:firstLineChars="0"/>
        <w:contextualSpacing/>
        <w:rPr>
          <w:rFonts w:ascii="黑体" w:hAnsi="黑体" w:eastAsia="黑体" w:cs="黑体"/>
        </w:rPr>
      </w:pPr>
      <w:r>
        <w:rPr>
          <w:rFonts w:hint="eastAsia" w:ascii="黑体" w:hAnsi="黑体" w:eastAsia="黑体" w:cs="黑体"/>
        </w:rPr>
        <w:t>7.4.3.1控花疏果</w:t>
      </w:r>
    </w:p>
    <w:p w14:paraId="1A7032DD">
      <w:pPr>
        <w:pStyle w:val="38"/>
        <w:ind w:firstLine="0" w:firstLineChars="0"/>
        <w:contextualSpacing/>
        <w:rPr>
          <w:rFonts w:ascii="黑体" w:hAnsi="黑体" w:eastAsia="黑体" w:cs="黑体"/>
        </w:rPr>
      </w:pPr>
      <w:r>
        <w:rPr>
          <w:rFonts w:hint="eastAsia" w:ascii="黑体" w:hAnsi="黑体" w:eastAsia="黑体" w:cs="黑体"/>
        </w:rPr>
        <w:t>7.4.3.1.1控花</w:t>
      </w:r>
    </w:p>
    <w:p w14:paraId="48EC9E64">
      <w:pPr>
        <w:pStyle w:val="38"/>
        <w:contextualSpacing/>
        <w:rPr>
          <w:rFonts w:ascii="宋体" w:hAnsi="宋体" w:cs="宋体"/>
        </w:rPr>
      </w:pPr>
      <w:r>
        <w:rPr>
          <w:rFonts w:hint="eastAsia" w:ascii="宋体" w:hAnsi="宋体" w:cs="宋体"/>
        </w:rPr>
        <w:t>冬季修剪以短截、回缩为主；进行花期复剪，强枝适当多留花，弱枝少留或不留，有叶单花多留，无叶花少留或不留；及时抹除畸形花、病虫花等无效花。</w:t>
      </w:r>
    </w:p>
    <w:p w14:paraId="2466A015">
      <w:pPr>
        <w:pStyle w:val="38"/>
        <w:ind w:firstLine="0" w:firstLineChars="0"/>
        <w:contextualSpacing/>
        <w:rPr>
          <w:rFonts w:ascii="黑体" w:hAnsi="黑体" w:eastAsia="黑体" w:cs="黑体"/>
        </w:rPr>
      </w:pPr>
      <w:r>
        <w:rPr>
          <w:rFonts w:hint="eastAsia" w:ascii="黑体" w:hAnsi="黑体" w:eastAsia="黑体" w:cs="黑体"/>
        </w:rPr>
        <w:t>7.4.3.1.2促花</w:t>
      </w:r>
    </w:p>
    <w:p w14:paraId="60D0170E">
      <w:pPr>
        <w:pStyle w:val="38"/>
        <w:contextualSpacing/>
        <w:rPr>
          <w:rFonts w:ascii="宋体" w:hAnsi="宋体" w:cs="宋体"/>
        </w:rPr>
      </w:pPr>
      <w:r>
        <w:rPr>
          <w:rFonts w:hint="eastAsia" w:ascii="宋体" w:hAnsi="宋体" w:cs="宋体"/>
        </w:rPr>
        <w:t>在秋季采用环割、断根、拉枝、控水等措施促进幼、旺树花芽分化。</w:t>
      </w:r>
    </w:p>
    <w:p w14:paraId="25C7FBCB">
      <w:pPr>
        <w:pStyle w:val="38"/>
        <w:ind w:firstLine="0" w:firstLineChars="0"/>
        <w:contextualSpacing/>
        <w:rPr>
          <w:rFonts w:ascii="黑体" w:hAnsi="黑体" w:eastAsia="黑体" w:cs="黑体"/>
        </w:rPr>
      </w:pPr>
      <w:r>
        <w:rPr>
          <w:rFonts w:hint="eastAsia" w:ascii="黑体" w:hAnsi="黑体" w:eastAsia="黑体" w:cs="黑体"/>
        </w:rPr>
        <w:t>7.4.3.1.3人工疏果</w:t>
      </w:r>
    </w:p>
    <w:p w14:paraId="3B5B63C3">
      <w:pPr>
        <w:pStyle w:val="38"/>
        <w:contextualSpacing/>
        <w:rPr>
          <w:rFonts w:ascii="宋体" w:hAnsi="宋体" w:cs="宋体"/>
        </w:rPr>
      </w:pPr>
      <w:r>
        <w:rPr>
          <w:rFonts w:hint="eastAsia" w:ascii="宋体" w:hAnsi="宋体" w:cs="宋体"/>
        </w:rPr>
        <w:t>分两次进行，第一次疏果在第一次生理落果后，仅疏除小果、病虫果、畸形果、密弱果；第二次疏果在第二次生理落果结束后，根据叶果比进行疏果。适宜叶果比为（50～60）：1，弱树的叶果比适度加大。</w:t>
      </w:r>
    </w:p>
    <w:p w14:paraId="003580D6">
      <w:pPr>
        <w:pStyle w:val="38"/>
        <w:ind w:firstLine="0" w:firstLineChars="0"/>
        <w:contextualSpacing/>
        <w:rPr>
          <w:rFonts w:ascii="黑体" w:hAnsi="黑体" w:eastAsia="黑体" w:cs="黑体"/>
        </w:rPr>
      </w:pPr>
      <w:r>
        <w:rPr>
          <w:rFonts w:hint="eastAsia" w:ascii="黑体" w:hAnsi="黑体" w:eastAsia="黑体" w:cs="黑体"/>
        </w:rPr>
        <w:t>7.4.3.2保花保果</w:t>
      </w:r>
    </w:p>
    <w:p w14:paraId="1DFBC581">
      <w:pPr>
        <w:pStyle w:val="38"/>
        <w:contextualSpacing/>
        <w:rPr>
          <w:rFonts w:ascii="宋体" w:hAnsi="宋体" w:cs="宋体"/>
        </w:rPr>
      </w:pPr>
      <w:r>
        <w:rPr>
          <w:rFonts w:hint="eastAsia" w:ascii="宋体" w:hAnsi="宋体" w:cs="宋体"/>
        </w:rPr>
        <w:t>加强树体管理，增强树势，提高坐果能力；花前和幼果期，喷施营养液，0.3%磷酸二氢钾+0.1%硼砂。</w:t>
      </w:r>
    </w:p>
    <w:p w14:paraId="62109F57">
      <w:pPr>
        <w:pStyle w:val="38"/>
        <w:ind w:firstLine="0" w:firstLineChars="0"/>
        <w:contextualSpacing/>
        <w:rPr>
          <w:rFonts w:ascii="黑体" w:hAnsi="黑体" w:eastAsia="黑体" w:cs="黑体"/>
        </w:rPr>
      </w:pPr>
      <w:r>
        <w:rPr>
          <w:rFonts w:hint="eastAsia" w:ascii="黑体" w:hAnsi="黑体" w:eastAsia="黑体" w:cs="黑体"/>
        </w:rPr>
        <w:t>7.4.3.3果实套袋</w:t>
      </w:r>
    </w:p>
    <w:p w14:paraId="4EFE8BDA">
      <w:pPr>
        <w:pStyle w:val="38"/>
        <w:contextualSpacing/>
        <w:rPr>
          <w:rFonts w:ascii="宋体" w:hAnsi="宋体" w:cs="宋体"/>
        </w:rPr>
      </w:pPr>
      <w:r>
        <w:rPr>
          <w:rFonts w:hint="eastAsia" w:ascii="宋体" w:hAnsi="宋体" w:cs="宋体"/>
        </w:rPr>
        <w:t>套袋适期为6月下旬至7月中旬（生理落果结束后）。及时选择生长正常、健壮的果实进行套袋。纸袋应选用抗风吹雨淋、透气性好的柑橘专用纸袋，以单层袋为宜。果实采收前15d左右摘袋。</w:t>
      </w:r>
    </w:p>
    <w:p w14:paraId="1842D9B6">
      <w:pPr>
        <w:pStyle w:val="30"/>
        <w:spacing w:before="312" w:after="312"/>
      </w:pPr>
      <w:r>
        <w:rPr>
          <w:rFonts w:hint="eastAsia"/>
        </w:rPr>
        <w:t>8   果实采收</w:t>
      </w:r>
    </w:p>
    <w:p w14:paraId="45BFCB05">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8.1采收时间</w:t>
      </w:r>
    </w:p>
    <w:p w14:paraId="1079F4AD">
      <w:pPr>
        <w:pStyle w:val="38"/>
        <w:contextualSpacing/>
        <w:rPr>
          <w:rFonts w:ascii="宋体" w:hAnsi="宋体" w:cs="宋体"/>
        </w:rPr>
      </w:pPr>
      <w:r>
        <w:rPr>
          <w:rFonts w:hint="eastAsia" w:ascii="宋体" w:hAnsi="宋体" w:cs="宋体"/>
        </w:rPr>
        <w:t>鲜销果在果实正常成熟，充分表现出本品种固有的品质特征（色泽、香味、风味和口感等）时采收。储藏果比鲜销果宜提前7d～10d采收。采收时要严格执行操作规程，做到轻采、轻放、轻装、轻卸。采果宜选晴天采，雨天、大风天不采。果面露水不干不采。采收前一周不宜灌水。</w:t>
      </w:r>
    </w:p>
    <w:p w14:paraId="6C0F879A">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8.2 采收方法</w:t>
      </w:r>
    </w:p>
    <w:p w14:paraId="6E09DD7B">
      <w:pPr>
        <w:pStyle w:val="38"/>
        <w:contextualSpacing/>
        <w:rPr>
          <w:rFonts w:ascii="宋体" w:hAnsi="宋体" w:cs="宋体"/>
        </w:rPr>
      </w:pPr>
      <w:r>
        <w:rPr>
          <w:rFonts w:hint="eastAsia" w:ascii="宋体" w:hAnsi="宋体" w:cs="宋体"/>
        </w:rPr>
        <w:t>采果应按先外后内，由下到上的顺序进行，实行“一果两剪”，第一剪剪下果实，第二剪齐果蒂剪平。禁止使用有毒有害药品处理果实。果品质量应符合NY/T 426的要求。</w:t>
      </w:r>
    </w:p>
    <w:p w14:paraId="4717C04F">
      <w:pPr>
        <w:pStyle w:val="30"/>
        <w:spacing w:before="312" w:after="312"/>
      </w:pPr>
      <w:r>
        <w:rPr>
          <w:rFonts w:hint="eastAsia"/>
        </w:rPr>
        <w:t>9   生产废弃物处理</w:t>
      </w:r>
    </w:p>
    <w:p w14:paraId="47348699">
      <w:pPr>
        <w:pStyle w:val="38"/>
        <w:contextualSpacing/>
        <w:rPr>
          <w:rFonts w:ascii="宋体" w:hAnsi="宋体" w:cs="宋体"/>
        </w:rPr>
      </w:pPr>
      <w:r>
        <w:rPr>
          <w:rFonts w:hint="eastAsia" w:ascii="宋体" w:hAnsi="宋体" w:cs="宋体"/>
        </w:rPr>
        <w:t>全面清除果园内的落果、落叶、枯枝，用作绿肥或有机肥覆盖果园或埋入施肥穴。田间各类废弃的农用塑料膜、农药包装袋、瓶，应清理出园，集中回收处理。</w:t>
      </w:r>
    </w:p>
    <w:p w14:paraId="1EC8BB4D">
      <w:pPr>
        <w:pStyle w:val="30"/>
        <w:spacing w:before="312" w:after="312"/>
      </w:pPr>
      <w:r>
        <w:rPr>
          <w:rFonts w:hint="eastAsia"/>
        </w:rPr>
        <w:t>10   储藏与运输</w:t>
      </w:r>
    </w:p>
    <w:p w14:paraId="42F53943">
      <w:pPr>
        <w:pStyle w:val="38"/>
        <w:contextualSpacing/>
        <w:rPr>
          <w:rFonts w:ascii="宋体" w:hAnsi="宋体" w:cs="宋体"/>
        </w:rPr>
      </w:pPr>
      <w:r>
        <w:rPr>
          <w:rFonts w:hint="eastAsia" w:ascii="宋体" w:hAnsi="宋体" w:cs="宋体"/>
        </w:rPr>
        <w:t>储藏应符合</w:t>
      </w:r>
      <w:r>
        <w:fldChar w:fldCharType="begin"/>
      </w:r>
      <w:r>
        <w:instrText xml:space="preserve"> HYPERLINK "http://down.foodmate.net/standard/sort/5/10842.html" \t "_blank" </w:instrText>
      </w:r>
      <w:r>
        <w:fldChar w:fldCharType="separate"/>
      </w:r>
      <w:r>
        <w:rPr>
          <w:rFonts w:hint="eastAsia" w:ascii="宋体" w:hAnsi="宋体" w:cs="宋体"/>
        </w:rPr>
        <w:t>NY/T 1189</w:t>
      </w:r>
      <w:r>
        <w:rPr>
          <w:rFonts w:hint="eastAsia" w:ascii="宋体" w:hAnsi="宋体" w:cs="宋体"/>
        </w:rPr>
        <w:fldChar w:fldCharType="end"/>
      </w:r>
      <w:r>
        <w:rPr>
          <w:rFonts w:hint="eastAsia" w:ascii="宋体" w:hAnsi="宋体" w:cs="宋体"/>
        </w:rPr>
        <w:t xml:space="preserve"> 的规定。</w:t>
      </w:r>
    </w:p>
    <w:p w14:paraId="350B0590">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10.1 室内储藏</w:t>
      </w:r>
    </w:p>
    <w:p w14:paraId="64B31FE2">
      <w:pPr>
        <w:pStyle w:val="38"/>
        <w:contextualSpacing/>
        <w:rPr>
          <w:rFonts w:ascii="宋体" w:hAnsi="宋体" w:cs="宋体"/>
        </w:rPr>
      </w:pPr>
      <w:r>
        <w:rPr>
          <w:rFonts w:hint="eastAsia" w:ascii="宋体" w:hAnsi="宋体" w:cs="宋体"/>
        </w:rPr>
        <w:t>储藏场地应干净、卫生，果品应分等级、包装规格堆放，做到批次分明、堆码整齐，严禁与有毒、有害、有异味物品混放。冷库储藏时，果品应经2d～3 d预冷后达到最终冷藏温度方可入库冷藏，冷藏库内温度为10℃～12℃，相对湿度为80%～85%。</w:t>
      </w:r>
    </w:p>
    <w:p w14:paraId="05E3257A">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10.2 通风库储藏</w:t>
      </w:r>
    </w:p>
    <w:p w14:paraId="2FE7460B">
      <w:pPr>
        <w:pStyle w:val="38"/>
        <w:contextualSpacing/>
        <w:rPr>
          <w:rFonts w:ascii="宋体" w:hAnsi="宋体" w:cs="宋体"/>
        </w:rPr>
      </w:pPr>
      <w:r>
        <w:rPr>
          <w:rFonts w:hint="eastAsia" w:ascii="宋体" w:hAnsi="宋体" w:cs="宋体"/>
        </w:rPr>
        <w:t>可分为架藏和箱藏两种，一是在库内用木料或金属材料搭架，将果实直接放置在架板上储藏；二是在库内用果箱堆码储藏，堆放时排间须留间隙。根据通风系统布设情况，果箱排列成“井”字形或“品”字形。利用季节和日夜之间的温度变化，通过适时通风换气调节库内温度；通风换气同时排除库内不良气体和控制库内相对湿度，必要时可对地面或墙壁喷雾，或在库内放置水盆。</w:t>
      </w:r>
    </w:p>
    <w:p w14:paraId="1ACA7194">
      <w:pPr>
        <w:pStyle w:val="38"/>
        <w:spacing w:line="360" w:lineRule="auto"/>
        <w:ind w:firstLine="0" w:firstLineChars="0"/>
        <w:contextualSpacing/>
        <w:outlineLvl w:val="1"/>
        <w:rPr>
          <w:rFonts w:ascii="黑体" w:hAnsi="黑体" w:eastAsia="黑体" w:cs="仿宋"/>
          <w:bCs/>
        </w:rPr>
      </w:pPr>
      <w:r>
        <w:rPr>
          <w:rFonts w:hint="eastAsia" w:ascii="黑体" w:hAnsi="黑体" w:eastAsia="黑体" w:cs="仿宋"/>
          <w:bCs/>
        </w:rPr>
        <w:t>10.3运输</w:t>
      </w:r>
    </w:p>
    <w:p w14:paraId="5627541D">
      <w:pPr>
        <w:pStyle w:val="38"/>
        <w:contextualSpacing/>
        <w:rPr>
          <w:rFonts w:ascii="宋体" w:hAnsi="宋体" w:cs="宋体"/>
        </w:rPr>
      </w:pPr>
      <w:r>
        <w:rPr>
          <w:rFonts w:hint="eastAsia" w:ascii="宋体" w:hAnsi="宋体" w:cs="宋体"/>
        </w:rPr>
        <w:t>运输中总的要求为快装快运，轻装轻卸，防热防冻。</w:t>
      </w:r>
    </w:p>
    <w:p w14:paraId="3029784E">
      <w:pPr>
        <w:pStyle w:val="30"/>
        <w:spacing w:before="312" w:after="312"/>
      </w:pPr>
      <w:r>
        <w:rPr>
          <w:rFonts w:hint="eastAsia"/>
        </w:rPr>
        <w:t>11  生产档案管理</w:t>
      </w:r>
    </w:p>
    <w:p w14:paraId="3E3270CF">
      <w:pPr>
        <w:pStyle w:val="38"/>
        <w:contextualSpacing/>
        <w:rPr>
          <w:rFonts w:ascii="宋体" w:hAnsi="宋体" w:cs="宋体"/>
        </w:rPr>
      </w:pPr>
      <w:r>
        <w:rPr>
          <w:rFonts w:hint="eastAsia" w:ascii="宋体" w:hAnsi="宋体" w:cs="宋体"/>
        </w:rPr>
        <w:t>应建立健全绿色食品杂柑生产档案，明确记录产地环境条件、生产技术、肥水管理、病虫草害的发生和防治、采收及采后处理等情况，并保存至少3年。</w:t>
      </w:r>
    </w:p>
    <w:p w14:paraId="22EB8BCB">
      <w:pPr>
        <w:rPr>
          <w:rFonts w:ascii="宋体" w:hAnsi="宋体" w:eastAsia="宋体" w:cs="仿宋"/>
          <w:bCs/>
          <w:szCs w:val="21"/>
        </w:rPr>
      </w:pPr>
      <w:r>
        <w:rPr>
          <w:rFonts w:hint="eastAsia" w:ascii="宋体" w:hAnsi="宋体" w:eastAsia="宋体" w:cs="仿宋"/>
          <w:bCs/>
          <w:szCs w:val="21"/>
        </w:rPr>
        <w:br w:type="page"/>
      </w:r>
    </w:p>
    <w:p w14:paraId="563D242D">
      <w:pPr>
        <w:jc w:val="center"/>
        <w:outlineLvl w:val="0"/>
        <w:rPr>
          <w:rFonts w:ascii="黑体" w:hAnsi="黑体" w:eastAsia="黑体"/>
          <w:sz w:val="24"/>
          <w:szCs w:val="24"/>
        </w:rPr>
      </w:pPr>
      <w:r>
        <w:rPr>
          <w:rFonts w:hint="eastAsia" w:ascii="黑体" w:hAnsi="黑体" w:eastAsia="黑体"/>
          <w:sz w:val="24"/>
          <w:szCs w:val="24"/>
        </w:rPr>
        <w:t xml:space="preserve">附 录 A </w:t>
      </w:r>
    </w:p>
    <w:p w14:paraId="3B70BE4E">
      <w:pPr>
        <w:jc w:val="center"/>
        <w:outlineLvl w:val="0"/>
        <w:rPr>
          <w:rFonts w:ascii="黑体" w:hAnsi="黑体" w:eastAsia="黑体"/>
          <w:sz w:val="24"/>
          <w:szCs w:val="24"/>
        </w:rPr>
      </w:pPr>
      <w:r>
        <w:rPr>
          <w:rFonts w:hint="eastAsia" w:ascii="黑体" w:hAnsi="黑体" w:eastAsia="黑体"/>
          <w:sz w:val="24"/>
          <w:szCs w:val="24"/>
        </w:rPr>
        <w:t>（资料性附录）</w:t>
      </w:r>
    </w:p>
    <w:p w14:paraId="24BFBCFF">
      <w:pPr>
        <w:widowControl/>
        <w:rPr>
          <w:rFonts w:ascii="黑体" w:hAnsi="黑体" w:eastAsia="黑体" w:cs="Times New Roman"/>
          <w:bCs/>
          <w:kern w:val="0"/>
          <w:sz w:val="24"/>
          <w:szCs w:val="24"/>
        </w:rPr>
      </w:pPr>
    </w:p>
    <w:p w14:paraId="55B07FB1">
      <w:pPr>
        <w:widowControl/>
        <w:jc w:val="center"/>
        <w:outlineLvl w:val="0"/>
        <w:rPr>
          <w:rFonts w:ascii="黑体" w:hAnsi="黑体" w:eastAsia="黑体" w:cs="Times New Roman"/>
          <w:b/>
          <w:bCs/>
          <w:kern w:val="0"/>
          <w:sz w:val="24"/>
          <w:szCs w:val="24"/>
        </w:rPr>
      </w:pPr>
      <w:r>
        <w:rPr>
          <w:rFonts w:ascii="黑体" w:hAnsi="黑体" w:eastAsia="黑体" w:cs="Times New Roman"/>
          <w:bCs/>
          <w:kern w:val="0"/>
          <w:sz w:val="24"/>
          <w:szCs w:val="24"/>
        </w:rPr>
        <w:t>绿色食品</w:t>
      </w:r>
      <w:r>
        <w:rPr>
          <w:rFonts w:hint="eastAsia" w:ascii="黑体" w:hAnsi="黑体" w:eastAsia="黑体" w:cs="Times New Roman"/>
          <w:bCs/>
          <w:kern w:val="0"/>
          <w:sz w:val="24"/>
          <w:szCs w:val="24"/>
        </w:rPr>
        <w:t xml:space="preserve"> 西南地区杂柑</w:t>
      </w:r>
      <w:r>
        <w:rPr>
          <w:rFonts w:ascii="黑体" w:hAnsi="黑体" w:eastAsia="黑体" w:cs="Times New Roman"/>
          <w:bCs/>
          <w:kern w:val="0"/>
          <w:sz w:val="24"/>
          <w:szCs w:val="24"/>
        </w:rPr>
        <w:t>主要病虫害</w:t>
      </w:r>
      <w:r>
        <w:rPr>
          <w:rFonts w:hint="eastAsia" w:ascii="黑体" w:hAnsi="黑体" w:eastAsia="黑体" w:cs="Times New Roman"/>
          <w:bCs/>
          <w:kern w:val="0"/>
          <w:sz w:val="24"/>
          <w:szCs w:val="24"/>
        </w:rPr>
        <w:t>防治推荐农药及施用规范</w:t>
      </w:r>
    </w:p>
    <w:tbl>
      <w:tblPr>
        <w:tblStyle w:val="9"/>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2048"/>
        <w:gridCol w:w="2681"/>
        <w:gridCol w:w="1937"/>
        <w:gridCol w:w="1059"/>
        <w:gridCol w:w="1309"/>
      </w:tblGrid>
      <w:tr w14:paraId="5AB8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1" w:type="dxa"/>
            <w:vAlign w:val="center"/>
          </w:tcPr>
          <w:p w14:paraId="1F63551C">
            <w:pPr>
              <w:spacing w:line="360" w:lineRule="auto"/>
              <w:jc w:val="center"/>
              <w:rPr>
                <w:rFonts w:ascii="宋体" w:hAnsi="宋体" w:eastAsia="宋体" w:cs="仿宋"/>
                <w:szCs w:val="21"/>
              </w:rPr>
            </w:pPr>
            <w:r>
              <w:rPr>
                <w:rFonts w:hint="eastAsia" w:ascii="宋体" w:hAnsi="宋体" w:eastAsia="宋体" w:cs="仿宋"/>
                <w:szCs w:val="21"/>
              </w:rPr>
              <w:t>防治对象</w:t>
            </w:r>
          </w:p>
        </w:tc>
        <w:tc>
          <w:tcPr>
            <w:tcW w:w="2048" w:type="dxa"/>
            <w:vAlign w:val="center"/>
          </w:tcPr>
          <w:p w14:paraId="5B63C50C">
            <w:pPr>
              <w:spacing w:line="360" w:lineRule="auto"/>
              <w:jc w:val="center"/>
              <w:rPr>
                <w:rFonts w:ascii="宋体" w:hAnsi="宋体" w:eastAsia="宋体" w:cs="仿宋"/>
                <w:szCs w:val="21"/>
              </w:rPr>
            </w:pPr>
            <w:r>
              <w:rPr>
                <w:rFonts w:hint="eastAsia" w:ascii="宋体" w:hAnsi="宋体" w:eastAsia="宋体" w:cs="仿宋"/>
                <w:szCs w:val="21"/>
              </w:rPr>
              <w:t>防治时期</w:t>
            </w:r>
          </w:p>
        </w:tc>
        <w:tc>
          <w:tcPr>
            <w:tcW w:w="2681" w:type="dxa"/>
            <w:vAlign w:val="center"/>
          </w:tcPr>
          <w:p w14:paraId="56293C77">
            <w:pPr>
              <w:spacing w:line="360" w:lineRule="auto"/>
              <w:jc w:val="center"/>
              <w:rPr>
                <w:rFonts w:ascii="宋体" w:hAnsi="宋体" w:eastAsia="宋体" w:cs="仿宋"/>
                <w:szCs w:val="21"/>
              </w:rPr>
            </w:pPr>
            <w:r>
              <w:rPr>
                <w:rFonts w:hint="eastAsia" w:ascii="宋体" w:hAnsi="宋体" w:eastAsia="宋体" w:cs="仿宋"/>
                <w:szCs w:val="21"/>
              </w:rPr>
              <w:t>农药名称</w:t>
            </w:r>
          </w:p>
        </w:tc>
        <w:tc>
          <w:tcPr>
            <w:tcW w:w="1937" w:type="dxa"/>
            <w:vAlign w:val="center"/>
          </w:tcPr>
          <w:p w14:paraId="684BA501">
            <w:pPr>
              <w:spacing w:line="360" w:lineRule="auto"/>
              <w:jc w:val="center"/>
              <w:rPr>
                <w:rFonts w:ascii="宋体" w:hAnsi="宋体" w:eastAsia="宋体" w:cs="仿宋"/>
                <w:szCs w:val="21"/>
              </w:rPr>
            </w:pPr>
            <w:r>
              <w:rPr>
                <w:rFonts w:hint="eastAsia" w:ascii="宋体" w:hAnsi="宋体" w:eastAsia="宋体" w:cs="仿宋"/>
                <w:szCs w:val="21"/>
              </w:rPr>
              <w:t>使用量</w:t>
            </w:r>
          </w:p>
        </w:tc>
        <w:tc>
          <w:tcPr>
            <w:tcW w:w="1059" w:type="dxa"/>
            <w:vAlign w:val="center"/>
          </w:tcPr>
          <w:p w14:paraId="44F803E4">
            <w:pPr>
              <w:spacing w:line="360" w:lineRule="auto"/>
              <w:jc w:val="center"/>
              <w:rPr>
                <w:rFonts w:ascii="宋体" w:hAnsi="宋体" w:eastAsia="宋体" w:cs="仿宋"/>
                <w:szCs w:val="21"/>
              </w:rPr>
            </w:pPr>
            <w:r>
              <w:rPr>
                <w:rFonts w:hint="eastAsia" w:ascii="宋体" w:hAnsi="宋体" w:eastAsia="宋体" w:cs="仿宋"/>
                <w:szCs w:val="21"/>
              </w:rPr>
              <w:t>使用方法</w:t>
            </w:r>
          </w:p>
        </w:tc>
        <w:tc>
          <w:tcPr>
            <w:tcW w:w="1309" w:type="dxa"/>
            <w:vAlign w:val="center"/>
          </w:tcPr>
          <w:p w14:paraId="64A6578A">
            <w:pPr>
              <w:spacing w:line="360" w:lineRule="auto"/>
              <w:jc w:val="center"/>
              <w:rPr>
                <w:rFonts w:ascii="宋体" w:hAnsi="宋体" w:eastAsia="宋体" w:cs="仿宋"/>
                <w:szCs w:val="21"/>
              </w:rPr>
            </w:pPr>
            <w:r>
              <w:rPr>
                <w:rFonts w:hint="eastAsia" w:ascii="宋体" w:hAnsi="宋体" w:eastAsia="宋体" w:cs="仿宋"/>
                <w:szCs w:val="21"/>
              </w:rPr>
              <w:t>安全间隔期（d）</w:t>
            </w:r>
          </w:p>
        </w:tc>
      </w:tr>
      <w:tr w14:paraId="0CB2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Merge w:val="restart"/>
            <w:vAlign w:val="center"/>
          </w:tcPr>
          <w:p w14:paraId="67EDA619">
            <w:pPr>
              <w:spacing w:line="360" w:lineRule="auto"/>
              <w:jc w:val="center"/>
              <w:rPr>
                <w:rFonts w:ascii="宋体" w:hAnsi="宋体" w:eastAsia="宋体" w:cs="仿宋"/>
                <w:bCs/>
                <w:szCs w:val="21"/>
              </w:rPr>
            </w:pPr>
            <w:r>
              <w:rPr>
                <w:rFonts w:hint="eastAsia" w:ascii="宋体" w:hAnsi="宋体" w:eastAsia="宋体" w:cs="仿宋"/>
                <w:bCs/>
                <w:szCs w:val="21"/>
              </w:rPr>
              <w:t>溃疡病</w:t>
            </w:r>
          </w:p>
        </w:tc>
        <w:tc>
          <w:tcPr>
            <w:tcW w:w="2048" w:type="dxa"/>
            <w:vMerge w:val="restart"/>
            <w:vAlign w:val="center"/>
          </w:tcPr>
          <w:p w14:paraId="50387FA2">
            <w:pPr>
              <w:spacing w:line="360" w:lineRule="auto"/>
              <w:jc w:val="center"/>
              <w:rPr>
                <w:rFonts w:ascii="宋体" w:hAnsi="宋体" w:eastAsia="宋体" w:cs="仿宋"/>
                <w:bCs/>
                <w:szCs w:val="21"/>
              </w:rPr>
            </w:pPr>
            <w:r>
              <w:rPr>
                <w:rFonts w:hint="eastAsia" w:ascii="宋体" w:hAnsi="宋体" w:eastAsia="宋体" w:cs="仿宋"/>
                <w:bCs/>
                <w:szCs w:val="21"/>
              </w:rPr>
              <w:t>发病初期</w:t>
            </w:r>
          </w:p>
        </w:tc>
        <w:tc>
          <w:tcPr>
            <w:tcW w:w="2681" w:type="dxa"/>
            <w:vAlign w:val="center"/>
          </w:tcPr>
          <w:p w14:paraId="7A5109A9">
            <w:pPr>
              <w:spacing w:line="360" w:lineRule="auto"/>
              <w:jc w:val="center"/>
              <w:rPr>
                <w:rFonts w:ascii="宋体" w:hAnsi="宋体" w:eastAsia="宋体" w:cs="仿宋"/>
                <w:bCs/>
                <w:szCs w:val="21"/>
              </w:rPr>
            </w:pPr>
            <w:r>
              <w:rPr>
                <w:rFonts w:hint="eastAsia" w:ascii="宋体" w:hAnsi="宋体" w:eastAsia="宋体" w:cs="仿宋"/>
                <w:bCs/>
                <w:szCs w:val="21"/>
              </w:rPr>
              <w:t>46%氢氧化铜水分散粒剂</w:t>
            </w:r>
          </w:p>
        </w:tc>
        <w:tc>
          <w:tcPr>
            <w:tcW w:w="1937" w:type="dxa"/>
            <w:vAlign w:val="center"/>
          </w:tcPr>
          <w:p w14:paraId="702AF06A">
            <w:pPr>
              <w:spacing w:line="360" w:lineRule="auto"/>
              <w:jc w:val="center"/>
              <w:rPr>
                <w:rFonts w:ascii="宋体" w:hAnsi="宋体" w:eastAsia="宋体" w:cs="仿宋"/>
                <w:bCs/>
                <w:szCs w:val="21"/>
              </w:rPr>
            </w:pPr>
            <w:r>
              <w:rPr>
                <w:rFonts w:hint="eastAsia" w:ascii="宋体" w:hAnsi="宋体" w:eastAsia="宋体" w:cs="仿宋"/>
                <w:bCs/>
                <w:szCs w:val="21"/>
              </w:rPr>
              <w:t>1000～2000倍</w:t>
            </w:r>
          </w:p>
        </w:tc>
        <w:tc>
          <w:tcPr>
            <w:tcW w:w="1059" w:type="dxa"/>
            <w:vAlign w:val="center"/>
          </w:tcPr>
          <w:p w14:paraId="5454293D">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4E30130E">
            <w:pPr>
              <w:spacing w:line="360" w:lineRule="auto"/>
              <w:jc w:val="center"/>
              <w:rPr>
                <w:rFonts w:ascii="宋体" w:hAnsi="宋体" w:eastAsia="宋体" w:cs="仿宋"/>
                <w:bCs/>
                <w:szCs w:val="21"/>
              </w:rPr>
            </w:pPr>
            <w:r>
              <w:rPr>
                <w:rFonts w:hint="eastAsia" w:ascii="宋体" w:hAnsi="宋体" w:eastAsia="宋体" w:cs="仿宋"/>
                <w:bCs/>
                <w:szCs w:val="21"/>
              </w:rPr>
              <w:t>3</w:t>
            </w:r>
          </w:p>
        </w:tc>
      </w:tr>
      <w:tr w14:paraId="2181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Merge w:val="continue"/>
            <w:vAlign w:val="center"/>
          </w:tcPr>
          <w:p w14:paraId="76B45CE0">
            <w:pPr>
              <w:spacing w:line="360" w:lineRule="auto"/>
              <w:jc w:val="center"/>
              <w:rPr>
                <w:rFonts w:ascii="宋体" w:hAnsi="宋体" w:eastAsia="宋体" w:cs="仿宋"/>
                <w:bCs/>
                <w:szCs w:val="21"/>
              </w:rPr>
            </w:pPr>
          </w:p>
        </w:tc>
        <w:tc>
          <w:tcPr>
            <w:tcW w:w="2048" w:type="dxa"/>
            <w:vMerge w:val="continue"/>
            <w:vAlign w:val="center"/>
          </w:tcPr>
          <w:p w14:paraId="2D7A341D">
            <w:pPr>
              <w:spacing w:line="360" w:lineRule="auto"/>
              <w:jc w:val="center"/>
              <w:rPr>
                <w:rFonts w:ascii="宋体" w:hAnsi="宋体" w:eastAsia="宋体" w:cs="仿宋"/>
                <w:bCs/>
                <w:szCs w:val="21"/>
              </w:rPr>
            </w:pPr>
          </w:p>
        </w:tc>
        <w:tc>
          <w:tcPr>
            <w:tcW w:w="2681" w:type="dxa"/>
            <w:vAlign w:val="center"/>
          </w:tcPr>
          <w:p w14:paraId="6BBDFFEC">
            <w:pPr>
              <w:spacing w:line="360" w:lineRule="auto"/>
              <w:ind w:right="105" w:rightChars="50"/>
              <w:jc w:val="center"/>
              <w:rPr>
                <w:rFonts w:ascii="宋体" w:hAnsi="宋体" w:eastAsia="宋体" w:cs="仿宋"/>
                <w:bCs/>
                <w:szCs w:val="21"/>
              </w:rPr>
            </w:pPr>
            <w:r>
              <w:rPr>
                <w:rFonts w:hint="eastAsia" w:ascii="宋体" w:hAnsi="宋体" w:eastAsia="宋体" w:cs="仿宋"/>
                <w:bCs/>
                <w:szCs w:val="21"/>
              </w:rPr>
              <w:t>36%春雷·喹啉铜悬浮剂</w:t>
            </w:r>
          </w:p>
        </w:tc>
        <w:tc>
          <w:tcPr>
            <w:tcW w:w="1937" w:type="dxa"/>
            <w:vAlign w:val="center"/>
          </w:tcPr>
          <w:p w14:paraId="31381DBE">
            <w:pPr>
              <w:spacing w:line="360" w:lineRule="auto"/>
              <w:jc w:val="center"/>
              <w:rPr>
                <w:rFonts w:ascii="宋体" w:hAnsi="宋体" w:eastAsia="宋体" w:cs="仿宋"/>
                <w:bCs/>
                <w:szCs w:val="21"/>
              </w:rPr>
            </w:pPr>
            <w:r>
              <w:rPr>
                <w:rFonts w:hint="eastAsia" w:ascii="宋体" w:hAnsi="宋体" w:eastAsia="宋体" w:cs="仿宋"/>
                <w:bCs/>
                <w:szCs w:val="21"/>
              </w:rPr>
              <w:t>2000～3000倍</w:t>
            </w:r>
          </w:p>
        </w:tc>
        <w:tc>
          <w:tcPr>
            <w:tcW w:w="1059" w:type="dxa"/>
            <w:vAlign w:val="center"/>
          </w:tcPr>
          <w:p w14:paraId="22206BF2">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5A6A6546">
            <w:pPr>
              <w:spacing w:line="360" w:lineRule="auto"/>
              <w:jc w:val="center"/>
              <w:rPr>
                <w:rFonts w:ascii="宋体" w:hAnsi="宋体" w:eastAsia="宋体" w:cs="仿宋"/>
                <w:bCs/>
                <w:szCs w:val="21"/>
              </w:rPr>
            </w:pPr>
            <w:r>
              <w:rPr>
                <w:rFonts w:hint="eastAsia" w:ascii="宋体" w:hAnsi="宋体" w:eastAsia="宋体" w:cs="仿宋"/>
                <w:bCs/>
                <w:szCs w:val="21"/>
              </w:rPr>
              <w:t>21（每季最多3次）</w:t>
            </w:r>
          </w:p>
        </w:tc>
      </w:tr>
      <w:tr w14:paraId="2B8C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1" w:type="dxa"/>
            <w:vMerge w:val="restart"/>
            <w:vAlign w:val="center"/>
          </w:tcPr>
          <w:p w14:paraId="358CEAF0">
            <w:pPr>
              <w:spacing w:line="360" w:lineRule="auto"/>
              <w:jc w:val="center"/>
              <w:rPr>
                <w:rFonts w:ascii="宋体" w:hAnsi="宋体" w:eastAsia="宋体" w:cs="仿宋"/>
                <w:bCs/>
                <w:szCs w:val="21"/>
              </w:rPr>
            </w:pPr>
            <w:r>
              <w:rPr>
                <w:rFonts w:hint="eastAsia" w:ascii="宋体" w:hAnsi="宋体" w:eastAsia="宋体" w:cs="仿宋"/>
                <w:bCs/>
                <w:szCs w:val="21"/>
              </w:rPr>
              <w:t>炭疽病</w:t>
            </w:r>
          </w:p>
        </w:tc>
        <w:tc>
          <w:tcPr>
            <w:tcW w:w="2048" w:type="dxa"/>
            <w:vAlign w:val="center"/>
          </w:tcPr>
          <w:p w14:paraId="288D00BC">
            <w:pPr>
              <w:spacing w:line="360" w:lineRule="auto"/>
              <w:jc w:val="center"/>
              <w:rPr>
                <w:rFonts w:ascii="宋体" w:hAnsi="宋体" w:eastAsia="宋体" w:cs="仿宋"/>
                <w:bCs/>
                <w:szCs w:val="21"/>
              </w:rPr>
            </w:pPr>
            <w:r>
              <w:rPr>
                <w:rFonts w:hint="eastAsia" w:ascii="宋体" w:hAnsi="宋体" w:eastAsia="宋体" w:cs="仿宋"/>
                <w:bCs/>
                <w:szCs w:val="21"/>
              </w:rPr>
              <w:t>发病初期</w:t>
            </w:r>
          </w:p>
        </w:tc>
        <w:tc>
          <w:tcPr>
            <w:tcW w:w="2681" w:type="dxa"/>
            <w:vAlign w:val="center"/>
          </w:tcPr>
          <w:p w14:paraId="01FB9CEB">
            <w:pPr>
              <w:spacing w:line="360" w:lineRule="auto"/>
              <w:jc w:val="center"/>
              <w:rPr>
                <w:rFonts w:ascii="宋体" w:hAnsi="宋体" w:eastAsia="宋体" w:cs="仿宋"/>
                <w:bCs/>
                <w:szCs w:val="21"/>
              </w:rPr>
            </w:pPr>
            <w:r>
              <w:rPr>
                <w:rFonts w:hint="eastAsia" w:ascii="宋体" w:hAnsi="宋体" w:eastAsia="宋体" w:cs="仿宋"/>
                <w:bCs/>
                <w:szCs w:val="21"/>
              </w:rPr>
              <w:t>12.5%氟环唑悬浮剂</w:t>
            </w:r>
          </w:p>
        </w:tc>
        <w:tc>
          <w:tcPr>
            <w:tcW w:w="1937" w:type="dxa"/>
            <w:vAlign w:val="center"/>
          </w:tcPr>
          <w:p w14:paraId="14C4F360">
            <w:pPr>
              <w:spacing w:line="360" w:lineRule="auto"/>
              <w:jc w:val="center"/>
              <w:rPr>
                <w:rFonts w:ascii="宋体" w:hAnsi="宋体" w:eastAsia="宋体" w:cs="仿宋"/>
                <w:bCs/>
                <w:szCs w:val="21"/>
              </w:rPr>
            </w:pPr>
            <w:r>
              <w:rPr>
                <w:rFonts w:hint="eastAsia" w:ascii="宋体" w:hAnsi="宋体" w:eastAsia="宋体" w:cs="仿宋"/>
                <w:bCs/>
                <w:szCs w:val="21"/>
              </w:rPr>
              <w:t>1500～2400倍</w:t>
            </w:r>
          </w:p>
        </w:tc>
        <w:tc>
          <w:tcPr>
            <w:tcW w:w="1059" w:type="dxa"/>
            <w:vAlign w:val="center"/>
          </w:tcPr>
          <w:p w14:paraId="044A3E10">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3AA59983">
            <w:pPr>
              <w:spacing w:line="360" w:lineRule="auto"/>
              <w:jc w:val="center"/>
              <w:rPr>
                <w:rFonts w:ascii="宋体" w:hAnsi="宋体" w:eastAsia="宋体" w:cs="仿宋"/>
                <w:bCs/>
                <w:szCs w:val="21"/>
              </w:rPr>
            </w:pPr>
            <w:r>
              <w:rPr>
                <w:rFonts w:hint="eastAsia" w:ascii="宋体" w:hAnsi="宋体" w:eastAsia="宋体" w:cs="仿宋"/>
                <w:bCs/>
                <w:szCs w:val="21"/>
              </w:rPr>
              <w:t>21</w:t>
            </w:r>
          </w:p>
        </w:tc>
      </w:tr>
      <w:tr w14:paraId="63E5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Merge w:val="continue"/>
            <w:vAlign w:val="center"/>
          </w:tcPr>
          <w:p w14:paraId="498FE6E7">
            <w:pPr>
              <w:spacing w:line="360" w:lineRule="auto"/>
              <w:jc w:val="center"/>
              <w:rPr>
                <w:rFonts w:ascii="宋体" w:hAnsi="宋体" w:eastAsia="宋体" w:cs="仿宋"/>
                <w:bCs/>
                <w:szCs w:val="21"/>
              </w:rPr>
            </w:pPr>
          </w:p>
        </w:tc>
        <w:tc>
          <w:tcPr>
            <w:tcW w:w="2048" w:type="dxa"/>
            <w:vAlign w:val="center"/>
          </w:tcPr>
          <w:p w14:paraId="0D73C705">
            <w:pPr>
              <w:spacing w:line="360" w:lineRule="auto"/>
              <w:jc w:val="center"/>
              <w:rPr>
                <w:rFonts w:ascii="宋体" w:hAnsi="宋体" w:eastAsia="宋体" w:cs="仿宋"/>
                <w:bCs/>
                <w:szCs w:val="21"/>
              </w:rPr>
            </w:pPr>
            <w:r>
              <w:rPr>
                <w:rFonts w:hint="eastAsia" w:ascii="宋体" w:hAnsi="宋体" w:eastAsia="宋体" w:cs="仿宋"/>
                <w:bCs/>
                <w:szCs w:val="21"/>
              </w:rPr>
              <w:t>春梢1cm左右长时喷第一次药</w:t>
            </w:r>
          </w:p>
        </w:tc>
        <w:tc>
          <w:tcPr>
            <w:tcW w:w="2681" w:type="dxa"/>
            <w:vAlign w:val="center"/>
          </w:tcPr>
          <w:p w14:paraId="3FAD9BF7">
            <w:pPr>
              <w:spacing w:line="360" w:lineRule="auto"/>
              <w:ind w:right="105" w:rightChars="50"/>
              <w:jc w:val="center"/>
              <w:rPr>
                <w:rFonts w:ascii="宋体" w:hAnsi="宋体" w:eastAsia="宋体" w:cs="仿宋"/>
                <w:bCs/>
                <w:szCs w:val="21"/>
              </w:rPr>
            </w:pPr>
            <w:r>
              <w:rPr>
                <w:rFonts w:hint="eastAsia" w:ascii="宋体" w:hAnsi="宋体" w:eastAsia="宋体" w:cs="仿宋"/>
                <w:bCs/>
                <w:szCs w:val="21"/>
              </w:rPr>
              <w:t>64%苯甲·锰锌可湿性粉剂</w:t>
            </w:r>
          </w:p>
        </w:tc>
        <w:tc>
          <w:tcPr>
            <w:tcW w:w="1937" w:type="dxa"/>
            <w:vAlign w:val="center"/>
          </w:tcPr>
          <w:p w14:paraId="3BC50174">
            <w:pPr>
              <w:spacing w:line="360" w:lineRule="auto"/>
              <w:jc w:val="center"/>
              <w:rPr>
                <w:rFonts w:ascii="宋体" w:hAnsi="宋体" w:eastAsia="宋体" w:cs="仿宋"/>
                <w:bCs/>
                <w:szCs w:val="21"/>
              </w:rPr>
            </w:pPr>
            <w:r>
              <w:rPr>
                <w:rFonts w:hint="eastAsia" w:ascii="宋体" w:hAnsi="宋体" w:eastAsia="宋体" w:cs="仿宋"/>
                <w:bCs/>
                <w:szCs w:val="21"/>
              </w:rPr>
              <w:t>500～1500倍</w:t>
            </w:r>
          </w:p>
        </w:tc>
        <w:tc>
          <w:tcPr>
            <w:tcW w:w="1059" w:type="dxa"/>
            <w:vAlign w:val="center"/>
          </w:tcPr>
          <w:p w14:paraId="5071F63E">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70423D89">
            <w:pPr>
              <w:spacing w:line="360" w:lineRule="auto"/>
              <w:jc w:val="center"/>
              <w:rPr>
                <w:rFonts w:ascii="宋体" w:hAnsi="宋体" w:eastAsia="宋体" w:cs="仿宋"/>
                <w:bCs/>
                <w:szCs w:val="21"/>
              </w:rPr>
            </w:pPr>
            <w:r>
              <w:rPr>
                <w:rFonts w:hint="eastAsia" w:ascii="宋体" w:hAnsi="宋体" w:eastAsia="宋体" w:cs="仿宋"/>
                <w:bCs/>
                <w:szCs w:val="21"/>
              </w:rPr>
              <w:t>20</w:t>
            </w:r>
          </w:p>
        </w:tc>
      </w:tr>
      <w:tr w14:paraId="2632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Merge w:val="restart"/>
            <w:vAlign w:val="center"/>
          </w:tcPr>
          <w:p w14:paraId="4D7B493A">
            <w:pPr>
              <w:spacing w:line="360" w:lineRule="auto"/>
              <w:jc w:val="center"/>
              <w:rPr>
                <w:rFonts w:ascii="宋体" w:hAnsi="宋体" w:eastAsia="宋体" w:cs="仿宋"/>
                <w:bCs/>
                <w:szCs w:val="21"/>
              </w:rPr>
            </w:pPr>
            <w:r>
              <w:rPr>
                <w:rFonts w:hint="eastAsia" w:ascii="宋体" w:hAnsi="宋体" w:eastAsia="宋体" w:cs="仿宋"/>
                <w:bCs/>
                <w:szCs w:val="21"/>
              </w:rPr>
              <w:t>疮痂病</w:t>
            </w:r>
          </w:p>
        </w:tc>
        <w:tc>
          <w:tcPr>
            <w:tcW w:w="2048" w:type="dxa"/>
            <w:vAlign w:val="center"/>
          </w:tcPr>
          <w:p w14:paraId="1008D7D0">
            <w:pPr>
              <w:spacing w:line="360" w:lineRule="auto"/>
              <w:jc w:val="center"/>
              <w:rPr>
                <w:rFonts w:ascii="宋体" w:hAnsi="宋体" w:eastAsia="宋体" w:cs="仿宋"/>
                <w:bCs/>
                <w:szCs w:val="21"/>
              </w:rPr>
            </w:pPr>
            <w:r>
              <w:rPr>
                <w:rFonts w:hint="eastAsia" w:ascii="宋体" w:hAnsi="宋体" w:eastAsia="宋体" w:cs="仿宋"/>
                <w:bCs/>
                <w:szCs w:val="21"/>
              </w:rPr>
              <w:t>春梢新芽萌动至芽长2mm前及谢花2/3时喷药/秋梢发病地区需喷药保护</w:t>
            </w:r>
          </w:p>
        </w:tc>
        <w:tc>
          <w:tcPr>
            <w:tcW w:w="2681" w:type="dxa"/>
            <w:vAlign w:val="center"/>
          </w:tcPr>
          <w:p w14:paraId="79F858AA">
            <w:pPr>
              <w:spacing w:line="360" w:lineRule="auto"/>
              <w:jc w:val="center"/>
              <w:rPr>
                <w:rFonts w:ascii="宋体" w:hAnsi="宋体" w:eastAsia="宋体" w:cs="仿宋"/>
                <w:bCs/>
                <w:szCs w:val="21"/>
              </w:rPr>
            </w:pPr>
            <w:r>
              <w:rPr>
                <w:rFonts w:hint="eastAsia" w:ascii="宋体" w:hAnsi="宋体" w:eastAsia="宋体" w:cs="仿宋"/>
                <w:bCs/>
                <w:szCs w:val="21"/>
              </w:rPr>
              <w:t>代森锰锌80%可湿性粉剂</w:t>
            </w:r>
          </w:p>
        </w:tc>
        <w:tc>
          <w:tcPr>
            <w:tcW w:w="1937" w:type="dxa"/>
            <w:vAlign w:val="center"/>
          </w:tcPr>
          <w:p w14:paraId="40CD65B8">
            <w:pPr>
              <w:spacing w:line="360" w:lineRule="auto"/>
              <w:jc w:val="center"/>
              <w:rPr>
                <w:rFonts w:ascii="宋体" w:hAnsi="宋体" w:eastAsia="宋体" w:cs="仿宋"/>
                <w:bCs/>
                <w:szCs w:val="21"/>
              </w:rPr>
            </w:pPr>
            <w:r>
              <w:rPr>
                <w:rFonts w:hint="eastAsia" w:ascii="宋体" w:hAnsi="宋体" w:eastAsia="宋体" w:cs="仿宋"/>
                <w:bCs/>
                <w:szCs w:val="21"/>
              </w:rPr>
              <w:t>500～625倍</w:t>
            </w:r>
          </w:p>
        </w:tc>
        <w:tc>
          <w:tcPr>
            <w:tcW w:w="1059" w:type="dxa"/>
            <w:vAlign w:val="center"/>
          </w:tcPr>
          <w:p w14:paraId="777BC19D">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69FE31AE">
            <w:pPr>
              <w:spacing w:line="360" w:lineRule="auto"/>
              <w:jc w:val="center"/>
              <w:rPr>
                <w:rFonts w:ascii="宋体" w:hAnsi="宋体" w:eastAsia="宋体" w:cs="仿宋"/>
                <w:bCs/>
                <w:szCs w:val="21"/>
              </w:rPr>
            </w:pPr>
            <w:r>
              <w:rPr>
                <w:rFonts w:hint="eastAsia" w:ascii="宋体" w:hAnsi="宋体" w:eastAsia="宋体" w:cs="仿宋"/>
                <w:bCs/>
                <w:szCs w:val="21"/>
              </w:rPr>
              <w:t>21</w:t>
            </w:r>
          </w:p>
        </w:tc>
      </w:tr>
      <w:tr w14:paraId="229A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1" w:type="dxa"/>
            <w:vMerge w:val="continue"/>
            <w:vAlign w:val="center"/>
          </w:tcPr>
          <w:p w14:paraId="56A8C8B3">
            <w:pPr>
              <w:spacing w:line="360" w:lineRule="auto"/>
              <w:jc w:val="center"/>
              <w:rPr>
                <w:rFonts w:ascii="宋体" w:hAnsi="宋体" w:eastAsia="宋体" w:cs="仿宋"/>
                <w:bCs/>
                <w:szCs w:val="21"/>
              </w:rPr>
            </w:pPr>
          </w:p>
        </w:tc>
        <w:tc>
          <w:tcPr>
            <w:tcW w:w="2048" w:type="dxa"/>
            <w:vAlign w:val="center"/>
          </w:tcPr>
          <w:p w14:paraId="7F82D219">
            <w:pPr>
              <w:spacing w:line="360" w:lineRule="auto"/>
              <w:jc w:val="center"/>
              <w:rPr>
                <w:rFonts w:ascii="宋体" w:hAnsi="宋体" w:eastAsia="宋体" w:cs="仿宋"/>
                <w:bCs/>
                <w:szCs w:val="21"/>
              </w:rPr>
            </w:pPr>
            <w:r>
              <w:rPr>
                <w:rFonts w:hint="eastAsia" w:ascii="宋体" w:hAnsi="宋体" w:eastAsia="宋体" w:cs="仿宋"/>
                <w:bCs/>
                <w:szCs w:val="21"/>
              </w:rPr>
              <w:t>发病前或发病初期</w:t>
            </w:r>
          </w:p>
        </w:tc>
        <w:tc>
          <w:tcPr>
            <w:tcW w:w="2681" w:type="dxa"/>
            <w:vAlign w:val="center"/>
          </w:tcPr>
          <w:p w14:paraId="4E24CCA1">
            <w:pPr>
              <w:spacing w:line="360" w:lineRule="auto"/>
              <w:jc w:val="center"/>
              <w:rPr>
                <w:rFonts w:ascii="宋体" w:hAnsi="宋体" w:eastAsia="宋体" w:cs="仿宋"/>
                <w:bCs/>
                <w:szCs w:val="21"/>
              </w:rPr>
            </w:pPr>
            <w:r>
              <w:rPr>
                <w:rFonts w:hint="eastAsia" w:ascii="宋体" w:hAnsi="宋体" w:eastAsia="宋体" w:cs="仿宋"/>
                <w:bCs/>
                <w:szCs w:val="21"/>
              </w:rPr>
              <w:t>40%苯醚甲环唑悬浮剂</w:t>
            </w:r>
          </w:p>
        </w:tc>
        <w:tc>
          <w:tcPr>
            <w:tcW w:w="1937" w:type="dxa"/>
            <w:vAlign w:val="center"/>
          </w:tcPr>
          <w:p w14:paraId="3CE0D1EA">
            <w:pPr>
              <w:spacing w:line="360" w:lineRule="auto"/>
              <w:jc w:val="center"/>
              <w:rPr>
                <w:rFonts w:ascii="宋体" w:hAnsi="宋体" w:eastAsia="宋体" w:cs="仿宋"/>
                <w:bCs/>
                <w:szCs w:val="21"/>
              </w:rPr>
            </w:pPr>
            <w:r>
              <w:rPr>
                <w:rFonts w:hint="eastAsia" w:ascii="宋体" w:hAnsi="宋体" w:eastAsia="宋体" w:cs="仿宋"/>
                <w:bCs/>
                <w:szCs w:val="21"/>
              </w:rPr>
              <w:t>3200～3600倍</w:t>
            </w:r>
          </w:p>
        </w:tc>
        <w:tc>
          <w:tcPr>
            <w:tcW w:w="1059" w:type="dxa"/>
            <w:vAlign w:val="center"/>
          </w:tcPr>
          <w:p w14:paraId="03B9232E">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50048910">
            <w:pPr>
              <w:spacing w:line="360" w:lineRule="auto"/>
              <w:jc w:val="center"/>
              <w:rPr>
                <w:rFonts w:ascii="宋体" w:hAnsi="宋体" w:eastAsia="宋体" w:cs="仿宋"/>
                <w:bCs/>
                <w:szCs w:val="21"/>
              </w:rPr>
            </w:pPr>
            <w:r>
              <w:rPr>
                <w:rFonts w:hint="eastAsia" w:ascii="宋体" w:hAnsi="宋体" w:eastAsia="宋体" w:cs="仿宋"/>
                <w:bCs/>
                <w:szCs w:val="21"/>
              </w:rPr>
              <w:t>30</w:t>
            </w:r>
          </w:p>
        </w:tc>
      </w:tr>
      <w:tr w14:paraId="42E9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61" w:type="dxa"/>
            <w:vAlign w:val="center"/>
          </w:tcPr>
          <w:p w14:paraId="22E8DACE">
            <w:pPr>
              <w:spacing w:line="360" w:lineRule="auto"/>
              <w:jc w:val="center"/>
              <w:rPr>
                <w:rFonts w:ascii="宋体" w:hAnsi="宋体" w:eastAsia="宋体" w:cs="仿宋"/>
                <w:bCs/>
                <w:szCs w:val="21"/>
              </w:rPr>
            </w:pPr>
            <w:r>
              <w:rPr>
                <w:rFonts w:hint="eastAsia" w:ascii="宋体" w:hAnsi="宋体" w:eastAsia="宋体" w:cs="仿宋"/>
                <w:bCs/>
                <w:szCs w:val="21"/>
              </w:rPr>
              <w:t>黑斑病</w:t>
            </w:r>
          </w:p>
        </w:tc>
        <w:tc>
          <w:tcPr>
            <w:tcW w:w="2048" w:type="dxa"/>
            <w:vAlign w:val="center"/>
          </w:tcPr>
          <w:p w14:paraId="35E82310">
            <w:pPr>
              <w:spacing w:line="360" w:lineRule="auto"/>
              <w:jc w:val="center"/>
              <w:rPr>
                <w:rFonts w:ascii="宋体" w:hAnsi="宋体" w:eastAsia="宋体" w:cs="仿宋"/>
                <w:bCs/>
                <w:szCs w:val="21"/>
              </w:rPr>
            </w:pPr>
            <w:r>
              <w:rPr>
                <w:rFonts w:hint="eastAsia" w:ascii="宋体" w:hAnsi="宋体" w:eastAsia="宋体" w:cs="仿宋"/>
                <w:bCs/>
                <w:szCs w:val="21"/>
              </w:rPr>
              <w:t>发病初期</w:t>
            </w:r>
          </w:p>
        </w:tc>
        <w:tc>
          <w:tcPr>
            <w:tcW w:w="2681" w:type="dxa"/>
            <w:vAlign w:val="center"/>
          </w:tcPr>
          <w:p w14:paraId="056138E8">
            <w:pPr>
              <w:spacing w:line="360" w:lineRule="auto"/>
              <w:ind w:right="105" w:rightChars="50"/>
              <w:jc w:val="center"/>
              <w:rPr>
                <w:rFonts w:ascii="宋体" w:hAnsi="宋体" w:eastAsia="宋体" w:cs="仿宋"/>
                <w:bCs/>
                <w:szCs w:val="21"/>
              </w:rPr>
            </w:pPr>
            <w:r>
              <w:rPr>
                <w:rFonts w:hint="eastAsia" w:ascii="宋体" w:hAnsi="宋体" w:eastAsia="宋体" w:cs="仿宋"/>
                <w:bCs/>
                <w:szCs w:val="21"/>
              </w:rPr>
              <w:t>35%氟菌·戊唑醇悬浮剂</w:t>
            </w:r>
          </w:p>
        </w:tc>
        <w:tc>
          <w:tcPr>
            <w:tcW w:w="1937" w:type="dxa"/>
            <w:vAlign w:val="center"/>
          </w:tcPr>
          <w:p w14:paraId="0406138E">
            <w:pPr>
              <w:spacing w:line="360" w:lineRule="auto"/>
              <w:jc w:val="center"/>
              <w:rPr>
                <w:rFonts w:ascii="宋体" w:hAnsi="宋体" w:eastAsia="宋体" w:cs="仿宋"/>
                <w:bCs/>
                <w:szCs w:val="21"/>
              </w:rPr>
            </w:pPr>
            <w:r>
              <w:rPr>
                <w:rFonts w:hint="eastAsia" w:ascii="宋体" w:hAnsi="宋体" w:eastAsia="宋体" w:cs="仿宋"/>
                <w:bCs/>
                <w:szCs w:val="21"/>
              </w:rPr>
              <w:t>2000～4000倍液</w:t>
            </w:r>
          </w:p>
        </w:tc>
        <w:tc>
          <w:tcPr>
            <w:tcW w:w="1059" w:type="dxa"/>
            <w:vAlign w:val="center"/>
          </w:tcPr>
          <w:p w14:paraId="0BC7F6A8">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5423EAE4">
            <w:pPr>
              <w:spacing w:line="360" w:lineRule="auto"/>
              <w:jc w:val="center"/>
              <w:rPr>
                <w:rFonts w:ascii="宋体" w:hAnsi="宋体" w:eastAsia="宋体" w:cs="仿宋"/>
                <w:bCs/>
                <w:szCs w:val="21"/>
              </w:rPr>
            </w:pPr>
            <w:r>
              <w:rPr>
                <w:rFonts w:hint="eastAsia" w:ascii="宋体" w:hAnsi="宋体" w:eastAsia="宋体" w:cs="仿宋"/>
                <w:bCs/>
                <w:szCs w:val="21"/>
              </w:rPr>
              <w:t>21</w:t>
            </w:r>
          </w:p>
        </w:tc>
      </w:tr>
      <w:tr w14:paraId="2A73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Merge w:val="restart"/>
            <w:vAlign w:val="center"/>
          </w:tcPr>
          <w:p w14:paraId="5EBA5C70">
            <w:pPr>
              <w:spacing w:line="360" w:lineRule="auto"/>
              <w:jc w:val="center"/>
              <w:rPr>
                <w:rFonts w:ascii="宋体" w:hAnsi="宋体" w:eastAsia="宋体" w:cs="仿宋"/>
                <w:bCs/>
                <w:szCs w:val="21"/>
              </w:rPr>
            </w:pPr>
            <w:r>
              <w:rPr>
                <w:rFonts w:hint="eastAsia" w:ascii="宋体" w:hAnsi="宋体" w:eastAsia="宋体" w:cs="仿宋"/>
                <w:bCs/>
                <w:szCs w:val="21"/>
              </w:rPr>
              <w:t>红蜘蛛</w:t>
            </w:r>
          </w:p>
        </w:tc>
        <w:tc>
          <w:tcPr>
            <w:tcW w:w="2048" w:type="dxa"/>
            <w:vAlign w:val="center"/>
          </w:tcPr>
          <w:p w14:paraId="642C1347">
            <w:pPr>
              <w:spacing w:line="360" w:lineRule="auto"/>
              <w:jc w:val="center"/>
              <w:rPr>
                <w:rFonts w:ascii="宋体" w:hAnsi="宋体" w:eastAsia="宋体" w:cs="仿宋"/>
                <w:bCs/>
                <w:szCs w:val="21"/>
              </w:rPr>
            </w:pPr>
            <w:r>
              <w:rPr>
                <w:rFonts w:hint="eastAsia" w:ascii="宋体" w:hAnsi="宋体" w:eastAsia="宋体" w:cs="仿宋"/>
                <w:bCs/>
                <w:szCs w:val="21"/>
              </w:rPr>
              <w:t>在红蜘蛛大量产卵的嫩梢期使用</w:t>
            </w:r>
          </w:p>
        </w:tc>
        <w:tc>
          <w:tcPr>
            <w:tcW w:w="2681" w:type="dxa"/>
            <w:vAlign w:val="center"/>
          </w:tcPr>
          <w:p w14:paraId="7EB14592">
            <w:pPr>
              <w:spacing w:line="360" w:lineRule="auto"/>
              <w:jc w:val="center"/>
              <w:rPr>
                <w:rFonts w:ascii="宋体" w:hAnsi="宋体" w:eastAsia="宋体" w:cs="仿宋"/>
                <w:bCs/>
                <w:szCs w:val="21"/>
              </w:rPr>
            </w:pPr>
            <w:r>
              <w:rPr>
                <w:rFonts w:hint="eastAsia" w:ascii="宋体" w:hAnsi="宋体" w:eastAsia="宋体" w:cs="仿宋"/>
                <w:bCs/>
                <w:szCs w:val="21"/>
              </w:rPr>
              <w:t>30%联肼·乙螨唑乳油</w:t>
            </w:r>
          </w:p>
        </w:tc>
        <w:tc>
          <w:tcPr>
            <w:tcW w:w="1937" w:type="dxa"/>
            <w:vAlign w:val="center"/>
          </w:tcPr>
          <w:p w14:paraId="26CA35CB">
            <w:pPr>
              <w:spacing w:line="360" w:lineRule="auto"/>
              <w:jc w:val="center"/>
              <w:rPr>
                <w:rFonts w:ascii="宋体" w:hAnsi="宋体" w:eastAsia="宋体" w:cs="仿宋"/>
                <w:bCs/>
                <w:szCs w:val="21"/>
              </w:rPr>
            </w:pPr>
            <w:r>
              <w:rPr>
                <w:rFonts w:hint="eastAsia" w:ascii="宋体" w:hAnsi="宋体" w:eastAsia="宋体" w:cs="仿宋"/>
                <w:bCs/>
                <w:szCs w:val="21"/>
              </w:rPr>
              <w:t>6000～8000倍液</w:t>
            </w:r>
          </w:p>
        </w:tc>
        <w:tc>
          <w:tcPr>
            <w:tcW w:w="1059" w:type="dxa"/>
            <w:vAlign w:val="center"/>
          </w:tcPr>
          <w:p w14:paraId="3ADC0E88">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4B147F8F">
            <w:pPr>
              <w:spacing w:line="360" w:lineRule="auto"/>
              <w:jc w:val="center"/>
              <w:rPr>
                <w:rFonts w:ascii="宋体" w:hAnsi="宋体" w:eastAsia="宋体" w:cs="仿宋"/>
                <w:bCs/>
                <w:szCs w:val="21"/>
              </w:rPr>
            </w:pPr>
            <w:r>
              <w:rPr>
                <w:rFonts w:hint="eastAsia" w:ascii="宋体" w:hAnsi="宋体" w:eastAsia="宋体" w:cs="仿宋"/>
                <w:bCs/>
                <w:szCs w:val="21"/>
              </w:rPr>
              <w:t>21</w:t>
            </w:r>
          </w:p>
        </w:tc>
      </w:tr>
      <w:tr w14:paraId="10C9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Merge w:val="continue"/>
            <w:vAlign w:val="center"/>
          </w:tcPr>
          <w:p w14:paraId="549D26F4">
            <w:pPr>
              <w:spacing w:line="360" w:lineRule="auto"/>
              <w:jc w:val="center"/>
              <w:rPr>
                <w:rFonts w:ascii="宋体" w:hAnsi="宋体" w:eastAsia="宋体" w:cs="仿宋"/>
                <w:bCs/>
                <w:szCs w:val="21"/>
              </w:rPr>
            </w:pPr>
          </w:p>
        </w:tc>
        <w:tc>
          <w:tcPr>
            <w:tcW w:w="2048" w:type="dxa"/>
            <w:vAlign w:val="center"/>
          </w:tcPr>
          <w:p w14:paraId="78FE486E">
            <w:pPr>
              <w:spacing w:line="360" w:lineRule="auto"/>
              <w:jc w:val="center"/>
              <w:rPr>
                <w:rFonts w:ascii="宋体" w:hAnsi="宋体" w:eastAsia="宋体" w:cs="仿宋"/>
                <w:bCs/>
                <w:szCs w:val="21"/>
              </w:rPr>
            </w:pPr>
            <w:r>
              <w:rPr>
                <w:rFonts w:hint="eastAsia" w:ascii="宋体" w:hAnsi="宋体" w:eastAsia="宋体" w:cs="仿宋"/>
                <w:bCs/>
                <w:szCs w:val="21"/>
              </w:rPr>
              <w:t>红蜘蛛低龄幼若螨始盛期施药</w:t>
            </w:r>
          </w:p>
        </w:tc>
        <w:tc>
          <w:tcPr>
            <w:tcW w:w="2681" w:type="dxa"/>
            <w:vAlign w:val="center"/>
          </w:tcPr>
          <w:p w14:paraId="08FA7B69">
            <w:pPr>
              <w:spacing w:line="360" w:lineRule="auto"/>
              <w:jc w:val="center"/>
              <w:rPr>
                <w:rFonts w:ascii="宋体" w:hAnsi="宋体" w:eastAsia="宋体" w:cs="仿宋"/>
                <w:bCs/>
                <w:szCs w:val="21"/>
              </w:rPr>
            </w:pPr>
            <w:r>
              <w:rPr>
                <w:rFonts w:hint="eastAsia" w:ascii="宋体" w:hAnsi="宋体" w:eastAsia="宋体" w:cs="仿宋"/>
                <w:bCs/>
                <w:szCs w:val="21"/>
              </w:rPr>
              <w:t>30%乙螨唑悬浮剂</w:t>
            </w:r>
          </w:p>
        </w:tc>
        <w:tc>
          <w:tcPr>
            <w:tcW w:w="1937" w:type="dxa"/>
            <w:vAlign w:val="center"/>
          </w:tcPr>
          <w:p w14:paraId="0CD446D8">
            <w:pPr>
              <w:spacing w:line="360" w:lineRule="auto"/>
              <w:jc w:val="center"/>
              <w:rPr>
                <w:rFonts w:ascii="宋体" w:hAnsi="宋体" w:eastAsia="宋体" w:cs="仿宋"/>
                <w:bCs/>
                <w:szCs w:val="21"/>
              </w:rPr>
            </w:pPr>
            <w:r>
              <w:rPr>
                <w:rFonts w:hint="eastAsia" w:ascii="宋体" w:hAnsi="宋体" w:eastAsia="宋体" w:cs="仿宋"/>
                <w:bCs/>
                <w:szCs w:val="21"/>
              </w:rPr>
              <w:t>10000～14000倍液</w:t>
            </w:r>
          </w:p>
        </w:tc>
        <w:tc>
          <w:tcPr>
            <w:tcW w:w="1059" w:type="dxa"/>
            <w:vAlign w:val="center"/>
          </w:tcPr>
          <w:p w14:paraId="0B0AC10C">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7397D4A9">
            <w:pPr>
              <w:spacing w:line="360" w:lineRule="auto"/>
              <w:jc w:val="center"/>
              <w:rPr>
                <w:rFonts w:ascii="宋体" w:hAnsi="宋体" w:eastAsia="宋体" w:cs="仿宋"/>
                <w:bCs/>
                <w:szCs w:val="21"/>
              </w:rPr>
            </w:pPr>
            <w:r>
              <w:rPr>
                <w:rFonts w:hint="eastAsia" w:ascii="宋体" w:hAnsi="宋体" w:eastAsia="宋体" w:cs="仿宋"/>
                <w:bCs/>
                <w:szCs w:val="21"/>
              </w:rPr>
              <w:t>28</w:t>
            </w:r>
          </w:p>
        </w:tc>
      </w:tr>
      <w:tr w14:paraId="4563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1" w:type="dxa"/>
            <w:vAlign w:val="center"/>
          </w:tcPr>
          <w:p w14:paraId="293F8AA4">
            <w:pPr>
              <w:spacing w:line="360" w:lineRule="auto"/>
              <w:jc w:val="center"/>
              <w:rPr>
                <w:rFonts w:ascii="宋体" w:hAnsi="宋体" w:eastAsia="宋体" w:cs="仿宋"/>
                <w:bCs/>
                <w:szCs w:val="21"/>
              </w:rPr>
            </w:pPr>
            <w:r>
              <w:rPr>
                <w:rFonts w:hint="eastAsia" w:ascii="宋体" w:hAnsi="宋体" w:eastAsia="宋体" w:cs="仿宋"/>
                <w:bCs/>
                <w:szCs w:val="21"/>
              </w:rPr>
              <w:t>蚜虫</w:t>
            </w:r>
          </w:p>
        </w:tc>
        <w:tc>
          <w:tcPr>
            <w:tcW w:w="2048" w:type="dxa"/>
            <w:vAlign w:val="center"/>
          </w:tcPr>
          <w:p w14:paraId="05DFBC44">
            <w:pPr>
              <w:spacing w:line="360" w:lineRule="auto"/>
              <w:jc w:val="center"/>
              <w:rPr>
                <w:rFonts w:ascii="宋体" w:hAnsi="宋体" w:eastAsia="宋体" w:cs="仿宋"/>
                <w:bCs/>
                <w:szCs w:val="21"/>
              </w:rPr>
            </w:pPr>
            <w:r>
              <w:rPr>
                <w:rFonts w:hint="eastAsia" w:ascii="宋体" w:hAnsi="宋体" w:eastAsia="宋体" w:cs="仿宋"/>
                <w:bCs/>
                <w:szCs w:val="21"/>
              </w:rPr>
              <w:t>蚜虫盛期施药</w:t>
            </w:r>
          </w:p>
        </w:tc>
        <w:tc>
          <w:tcPr>
            <w:tcW w:w="2681" w:type="dxa"/>
            <w:vAlign w:val="center"/>
          </w:tcPr>
          <w:p w14:paraId="0C6CDF0F">
            <w:pPr>
              <w:spacing w:line="360" w:lineRule="auto"/>
              <w:jc w:val="center"/>
              <w:rPr>
                <w:rFonts w:ascii="宋体" w:hAnsi="宋体" w:eastAsia="宋体" w:cs="仿宋"/>
                <w:bCs/>
                <w:szCs w:val="21"/>
              </w:rPr>
            </w:pPr>
            <w:r>
              <w:rPr>
                <w:rFonts w:hint="eastAsia" w:ascii="宋体" w:hAnsi="宋体" w:eastAsia="宋体" w:cs="仿宋"/>
                <w:bCs/>
                <w:szCs w:val="21"/>
              </w:rPr>
              <w:t>5%啶虫脒乳油</w:t>
            </w:r>
          </w:p>
        </w:tc>
        <w:tc>
          <w:tcPr>
            <w:tcW w:w="1937" w:type="dxa"/>
            <w:vAlign w:val="center"/>
          </w:tcPr>
          <w:p w14:paraId="3711C5B9">
            <w:pPr>
              <w:spacing w:line="360" w:lineRule="auto"/>
              <w:jc w:val="center"/>
              <w:rPr>
                <w:rFonts w:ascii="宋体" w:hAnsi="宋体" w:eastAsia="宋体" w:cs="仿宋"/>
                <w:bCs/>
                <w:szCs w:val="21"/>
              </w:rPr>
            </w:pPr>
            <w:r>
              <w:rPr>
                <w:rFonts w:hint="eastAsia" w:ascii="宋体" w:hAnsi="宋体" w:eastAsia="宋体" w:cs="仿宋"/>
                <w:bCs/>
                <w:szCs w:val="21"/>
              </w:rPr>
              <w:t>4000～5000倍液</w:t>
            </w:r>
          </w:p>
        </w:tc>
        <w:tc>
          <w:tcPr>
            <w:tcW w:w="1059" w:type="dxa"/>
            <w:vAlign w:val="center"/>
          </w:tcPr>
          <w:p w14:paraId="70FC4674">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7E4482F9">
            <w:pPr>
              <w:spacing w:line="360" w:lineRule="auto"/>
              <w:jc w:val="center"/>
              <w:rPr>
                <w:rFonts w:ascii="宋体" w:hAnsi="宋体" w:eastAsia="宋体" w:cs="仿宋"/>
                <w:bCs/>
                <w:szCs w:val="21"/>
              </w:rPr>
            </w:pPr>
            <w:r>
              <w:rPr>
                <w:rFonts w:hint="eastAsia" w:ascii="宋体" w:hAnsi="宋体" w:eastAsia="宋体" w:cs="仿宋"/>
                <w:bCs/>
                <w:szCs w:val="21"/>
              </w:rPr>
              <w:t>14</w:t>
            </w:r>
          </w:p>
        </w:tc>
      </w:tr>
      <w:tr w14:paraId="5E79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1" w:type="dxa"/>
            <w:vAlign w:val="center"/>
          </w:tcPr>
          <w:p w14:paraId="05D7065D">
            <w:pPr>
              <w:spacing w:line="360" w:lineRule="auto"/>
              <w:jc w:val="center"/>
              <w:rPr>
                <w:rFonts w:ascii="宋体" w:hAnsi="宋体" w:eastAsia="宋体" w:cs="仿宋"/>
                <w:bCs/>
                <w:szCs w:val="21"/>
              </w:rPr>
            </w:pPr>
            <w:r>
              <w:rPr>
                <w:rFonts w:hint="eastAsia" w:ascii="宋体" w:hAnsi="宋体" w:eastAsia="宋体" w:cs="仿宋"/>
                <w:bCs/>
                <w:szCs w:val="21"/>
              </w:rPr>
              <w:t>粉虱类</w:t>
            </w:r>
          </w:p>
        </w:tc>
        <w:tc>
          <w:tcPr>
            <w:tcW w:w="2048" w:type="dxa"/>
            <w:vAlign w:val="center"/>
          </w:tcPr>
          <w:p w14:paraId="37893AC6">
            <w:pPr>
              <w:spacing w:line="360" w:lineRule="auto"/>
              <w:jc w:val="center"/>
              <w:rPr>
                <w:rFonts w:ascii="宋体" w:hAnsi="宋体" w:eastAsia="宋体" w:cs="仿宋"/>
                <w:bCs/>
                <w:szCs w:val="21"/>
              </w:rPr>
            </w:pPr>
            <w:r>
              <w:rPr>
                <w:rFonts w:hint="eastAsia" w:ascii="宋体" w:hAnsi="宋体" w:eastAsia="宋体" w:cs="仿宋"/>
                <w:bCs/>
                <w:szCs w:val="21"/>
              </w:rPr>
              <w:t>在粉虱若虫盛发期施药</w:t>
            </w:r>
          </w:p>
        </w:tc>
        <w:tc>
          <w:tcPr>
            <w:tcW w:w="2681" w:type="dxa"/>
            <w:vAlign w:val="center"/>
          </w:tcPr>
          <w:p w14:paraId="3A22182C">
            <w:pPr>
              <w:spacing w:line="360" w:lineRule="auto"/>
              <w:jc w:val="center"/>
              <w:rPr>
                <w:rFonts w:ascii="宋体" w:hAnsi="宋体" w:eastAsia="宋体" w:cs="仿宋"/>
                <w:bCs/>
                <w:szCs w:val="21"/>
              </w:rPr>
            </w:pPr>
            <w:r>
              <w:rPr>
                <w:rFonts w:hint="eastAsia" w:ascii="宋体" w:hAnsi="宋体" w:eastAsia="宋体" w:cs="仿宋"/>
                <w:bCs/>
                <w:szCs w:val="21"/>
              </w:rPr>
              <w:t>5%啶虫脒乳油</w:t>
            </w:r>
          </w:p>
        </w:tc>
        <w:tc>
          <w:tcPr>
            <w:tcW w:w="1937" w:type="dxa"/>
            <w:vAlign w:val="center"/>
          </w:tcPr>
          <w:p w14:paraId="35F4E56C">
            <w:pPr>
              <w:spacing w:line="360" w:lineRule="auto"/>
              <w:jc w:val="center"/>
              <w:rPr>
                <w:rFonts w:ascii="宋体" w:hAnsi="宋体" w:eastAsia="宋体" w:cs="仿宋"/>
                <w:bCs/>
                <w:szCs w:val="21"/>
              </w:rPr>
            </w:pPr>
            <w:r>
              <w:rPr>
                <w:rFonts w:hint="eastAsia" w:ascii="宋体" w:hAnsi="宋体" w:eastAsia="宋体" w:cs="仿宋"/>
                <w:bCs/>
                <w:szCs w:val="21"/>
              </w:rPr>
              <w:t>2000～4000倍液</w:t>
            </w:r>
          </w:p>
        </w:tc>
        <w:tc>
          <w:tcPr>
            <w:tcW w:w="1059" w:type="dxa"/>
            <w:vAlign w:val="center"/>
          </w:tcPr>
          <w:p w14:paraId="51932D84">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3F1948C7">
            <w:pPr>
              <w:spacing w:line="360" w:lineRule="auto"/>
              <w:jc w:val="center"/>
              <w:rPr>
                <w:rFonts w:ascii="宋体" w:hAnsi="宋体" w:eastAsia="宋体" w:cs="仿宋"/>
                <w:bCs/>
                <w:szCs w:val="21"/>
              </w:rPr>
            </w:pPr>
            <w:r>
              <w:rPr>
                <w:rFonts w:hint="eastAsia" w:ascii="宋体" w:hAnsi="宋体" w:eastAsia="宋体" w:cs="仿宋"/>
                <w:bCs/>
                <w:szCs w:val="21"/>
              </w:rPr>
              <w:t>21</w:t>
            </w:r>
          </w:p>
        </w:tc>
      </w:tr>
      <w:tr w14:paraId="519D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1" w:type="dxa"/>
            <w:vAlign w:val="center"/>
          </w:tcPr>
          <w:p w14:paraId="6B3FF3E4">
            <w:pPr>
              <w:spacing w:line="360" w:lineRule="auto"/>
              <w:jc w:val="center"/>
              <w:rPr>
                <w:rFonts w:ascii="宋体" w:hAnsi="宋体" w:eastAsia="宋体" w:cs="仿宋"/>
                <w:bCs/>
                <w:szCs w:val="21"/>
              </w:rPr>
            </w:pPr>
            <w:r>
              <w:rPr>
                <w:rFonts w:hint="eastAsia" w:ascii="宋体" w:hAnsi="宋体" w:eastAsia="宋体" w:cs="仿宋"/>
                <w:bCs/>
                <w:szCs w:val="21"/>
              </w:rPr>
              <w:t>天牛</w:t>
            </w:r>
          </w:p>
        </w:tc>
        <w:tc>
          <w:tcPr>
            <w:tcW w:w="2048" w:type="dxa"/>
            <w:vAlign w:val="center"/>
          </w:tcPr>
          <w:p w14:paraId="05751B11">
            <w:pPr>
              <w:spacing w:line="360" w:lineRule="auto"/>
              <w:jc w:val="center"/>
              <w:rPr>
                <w:rFonts w:ascii="宋体" w:hAnsi="宋体" w:eastAsia="宋体" w:cs="仿宋"/>
                <w:bCs/>
                <w:szCs w:val="21"/>
              </w:rPr>
            </w:pPr>
            <w:r>
              <w:rPr>
                <w:rFonts w:hint="eastAsia" w:ascii="宋体" w:hAnsi="宋体" w:eastAsia="宋体" w:cs="仿宋"/>
                <w:bCs/>
                <w:szCs w:val="21"/>
              </w:rPr>
              <w:t>天牛羽化盛期用药</w:t>
            </w:r>
          </w:p>
        </w:tc>
        <w:tc>
          <w:tcPr>
            <w:tcW w:w="2681" w:type="dxa"/>
            <w:vAlign w:val="center"/>
          </w:tcPr>
          <w:p w14:paraId="70BC4529">
            <w:pPr>
              <w:spacing w:line="360" w:lineRule="auto"/>
              <w:jc w:val="center"/>
              <w:rPr>
                <w:rFonts w:ascii="宋体" w:hAnsi="宋体" w:eastAsia="宋体" w:cs="仿宋"/>
                <w:bCs/>
                <w:szCs w:val="21"/>
              </w:rPr>
            </w:pPr>
            <w:r>
              <w:rPr>
                <w:rFonts w:hint="eastAsia" w:ascii="宋体" w:hAnsi="宋体" w:eastAsia="宋体" w:cs="仿宋"/>
                <w:bCs/>
                <w:szCs w:val="21"/>
              </w:rPr>
              <w:t>40%噻虫啉悬浮剂</w:t>
            </w:r>
          </w:p>
        </w:tc>
        <w:tc>
          <w:tcPr>
            <w:tcW w:w="1937" w:type="dxa"/>
            <w:vAlign w:val="center"/>
          </w:tcPr>
          <w:p w14:paraId="2D79EBE6">
            <w:pPr>
              <w:spacing w:line="360" w:lineRule="auto"/>
              <w:jc w:val="center"/>
              <w:rPr>
                <w:rFonts w:ascii="宋体" w:hAnsi="宋体" w:eastAsia="宋体" w:cs="仿宋"/>
                <w:bCs/>
                <w:szCs w:val="21"/>
              </w:rPr>
            </w:pPr>
            <w:r>
              <w:rPr>
                <w:rFonts w:hint="eastAsia" w:ascii="宋体" w:hAnsi="宋体" w:eastAsia="宋体" w:cs="仿宋"/>
                <w:bCs/>
                <w:szCs w:val="21"/>
              </w:rPr>
              <w:t>3000～4000倍液</w:t>
            </w:r>
          </w:p>
        </w:tc>
        <w:tc>
          <w:tcPr>
            <w:tcW w:w="1059" w:type="dxa"/>
            <w:vAlign w:val="center"/>
          </w:tcPr>
          <w:p w14:paraId="2918F310">
            <w:pPr>
              <w:spacing w:line="360" w:lineRule="auto"/>
              <w:jc w:val="center"/>
              <w:rPr>
                <w:rFonts w:ascii="宋体" w:hAnsi="宋体" w:eastAsia="宋体" w:cs="仿宋"/>
                <w:bCs/>
                <w:szCs w:val="21"/>
              </w:rPr>
            </w:pPr>
            <w:r>
              <w:rPr>
                <w:rFonts w:hint="eastAsia" w:ascii="宋体" w:hAnsi="宋体" w:eastAsia="宋体" w:cs="仿宋"/>
                <w:bCs/>
                <w:szCs w:val="21"/>
              </w:rPr>
              <w:t>喷雾</w:t>
            </w:r>
          </w:p>
        </w:tc>
        <w:tc>
          <w:tcPr>
            <w:tcW w:w="1309" w:type="dxa"/>
            <w:vAlign w:val="center"/>
          </w:tcPr>
          <w:p w14:paraId="6FF6EDA7">
            <w:pPr>
              <w:spacing w:line="360" w:lineRule="auto"/>
              <w:jc w:val="center"/>
              <w:rPr>
                <w:rFonts w:ascii="宋体" w:hAnsi="宋体" w:eastAsia="宋体" w:cs="仿宋"/>
                <w:bCs/>
                <w:szCs w:val="21"/>
              </w:rPr>
            </w:pPr>
            <w:r>
              <w:rPr>
                <w:rFonts w:hint="eastAsia" w:ascii="宋体" w:hAnsi="宋体" w:eastAsia="宋体" w:cs="仿宋"/>
                <w:bCs/>
                <w:szCs w:val="21"/>
              </w:rPr>
              <w:t>21</w:t>
            </w:r>
          </w:p>
        </w:tc>
      </w:tr>
      <w:tr w14:paraId="4591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195" w:type="dxa"/>
            <w:gridSpan w:val="6"/>
            <w:vAlign w:val="center"/>
          </w:tcPr>
          <w:p w14:paraId="7AAA2516">
            <w:pPr>
              <w:spacing w:line="360" w:lineRule="auto"/>
              <w:jc w:val="center"/>
              <w:rPr>
                <w:rFonts w:ascii="宋体" w:hAnsi="宋体" w:eastAsia="宋体" w:cs="仿宋"/>
                <w:bCs/>
                <w:szCs w:val="21"/>
              </w:rPr>
            </w:pPr>
            <w:r>
              <w:rPr>
                <w:rFonts w:hint="eastAsia" w:ascii="宋体" w:hAnsi="宋体" w:eastAsia="宋体" w:cs="仿宋"/>
                <w:bCs/>
                <w:szCs w:val="21"/>
              </w:rPr>
              <w:t>注：农药使用以最新版本NY/T 393的规定为准。</w:t>
            </w:r>
          </w:p>
        </w:tc>
      </w:tr>
    </w:tbl>
    <w:p w14:paraId="6A5BEAED">
      <w:r>
        <w:rPr>
          <w:rFonts w:hint="eastAsia"/>
        </w:rPr>
        <w:br w:type="page"/>
      </w:r>
    </w:p>
    <w:p w14:paraId="7C01D98E">
      <w:pPr>
        <w:jc w:val="center"/>
        <w:rPr>
          <w:rFonts w:ascii="黑体" w:hAnsi="黑体" w:eastAsia="黑体"/>
          <w:sz w:val="24"/>
          <w:szCs w:val="24"/>
        </w:rPr>
      </w:pPr>
      <w:r>
        <w:rPr>
          <w:rFonts w:hint="eastAsia" w:ascii="黑体" w:hAnsi="黑体" w:eastAsia="黑体"/>
          <w:sz w:val="24"/>
          <w:szCs w:val="24"/>
        </w:rPr>
        <w:t>附 录B</w:t>
      </w:r>
    </w:p>
    <w:p w14:paraId="3B29E783">
      <w:pPr>
        <w:jc w:val="center"/>
        <w:rPr>
          <w:rFonts w:ascii="黑体" w:hAnsi="黑体" w:eastAsia="黑体"/>
          <w:sz w:val="24"/>
          <w:szCs w:val="24"/>
        </w:rPr>
      </w:pPr>
      <w:r>
        <w:rPr>
          <w:rFonts w:hint="eastAsia" w:ascii="黑体" w:hAnsi="黑体" w:eastAsia="黑体"/>
          <w:sz w:val="24"/>
          <w:szCs w:val="24"/>
        </w:rPr>
        <w:t>（资料性附录）</w:t>
      </w:r>
    </w:p>
    <w:p w14:paraId="5E8AAEB2">
      <w:pPr>
        <w:jc w:val="center"/>
        <w:rPr>
          <w:rFonts w:ascii="黑体" w:hAnsi="黑体" w:eastAsia="黑体"/>
          <w:sz w:val="24"/>
          <w:szCs w:val="24"/>
        </w:rPr>
      </w:pPr>
      <w:r>
        <w:rPr>
          <w:rFonts w:hint="eastAsia" w:ascii="黑体" w:hAnsi="黑体" w:eastAsia="黑体"/>
          <w:sz w:val="24"/>
          <w:szCs w:val="24"/>
        </w:rPr>
        <w:t>团体标准修改单</w:t>
      </w:r>
    </w:p>
    <w:p w14:paraId="4FBDA7F7">
      <w:pPr>
        <w:spacing w:before="240"/>
        <w:jc w:val="center"/>
        <w:rPr>
          <w:rFonts w:ascii="黑体" w:hAnsi="黑体" w:eastAsia="黑体"/>
          <w:sz w:val="24"/>
          <w:szCs w:val="24"/>
        </w:rPr>
      </w:pPr>
      <w:r>
        <w:rPr>
          <w:rFonts w:hint="eastAsia" w:ascii="黑体" w:hAnsi="黑体" w:eastAsia="黑体"/>
          <w:sz w:val="24"/>
          <w:szCs w:val="24"/>
        </w:rPr>
        <w:t>绿色食品 西南地区杂柑生产操作规程</w:t>
      </w:r>
    </w:p>
    <w:p w14:paraId="0C8BF5E9">
      <w:pPr>
        <w:jc w:val="center"/>
        <w:rPr>
          <w:rFonts w:ascii="黑体" w:hAnsi="黑体" w:eastAsia="黑体"/>
          <w:sz w:val="24"/>
          <w:szCs w:val="24"/>
        </w:rPr>
      </w:pPr>
      <w:r>
        <w:rPr>
          <w:rFonts w:hint="eastAsia" w:ascii="黑体" w:hAnsi="黑体" w:eastAsia="黑体"/>
          <w:sz w:val="24"/>
          <w:szCs w:val="24"/>
        </w:rPr>
        <w:t>第XX号修改单</w:t>
      </w:r>
    </w:p>
    <w:p w14:paraId="22290671">
      <w:pPr>
        <w:jc w:val="center"/>
        <w:rPr>
          <w:rFonts w:ascii="黑体" w:hAnsi="黑体" w:eastAsia="黑体"/>
          <w:sz w:val="24"/>
          <w:szCs w:val="24"/>
        </w:rPr>
      </w:pPr>
    </w:p>
    <w:p w14:paraId="019FE36E">
      <w:pPr>
        <w:widowControl/>
        <w:ind w:firstLine="400" w:firstLineChars="200"/>
        <w:jc w:val="left"/>
      </w:pPr>
      <w:r>
        <w:rPr>
          <w:rFonts w:hint="eastAsia" w:ascii="宋体" w:hAnsi="宋体" w:eastAsia="宋体" w:cs="宋体"/>
          <w:kern w:val="0"/>
          <w:sz w:val="20"/>
          <w:szCs w:val="20"/>
        </w:rPr>
        <w:t xml:space="preserve">本修改单经中国绿色食品协会于××××年××月××日批准，自××××年×× </w:t>
      </w:r>
    </w:p>
    <w:p w14:paraId="40370DF5">
      <w:pPr>
        <w:widowControl/>
        <w:jc w:val="left"/>
      </w:pPr>
      <w:r>
        <w:rPr>
          <w:rFonts w:hint="eastAsia" w:ascii="宋体" w:hAnsi="宋体" w:eastAsia="宋体" w:cs="宋体"/>
          <w:kern w:val="0"/>
          <w:sz w:val="20"/>
          <w:szCs w:val="20"/>
        </w:rPr>
        <w:t xml:space="preserve">月××日起实施。 </w:t>
      </w:r>
    </w:p>
    <w:p w14:paraId="489DC692">
      <w:pPr>
        <w:widowControl/>
        <w:jc w:val="left"/>
        <w:rPr>
          <w:rFonts w:ascii="宋体" w:hAnsi="宋体" w:eastAsia="宋体" w:cs="宋体"/>
          <w:szCs w:val="21"/>
        </w:rPr>
      </w:pPr>
    </w:p>
    <w:p w14:paraId="0CAC8795">
      <w:pPr>
        <w:widowControl/>
        <w:numPr>
          <w:ilvl w:val="255"/>
          <w:numId w:val="0"/>
        </w:numPr>
        <w:jc w:val="left"/>
        <w:rPr>
          <w:rFonts w:ascii="宋体" w:hAnsi="宋体" w:eastAsia="宋体" w:cs="宋体"/>
          <w:szCs w:val="21"/>
        </w:rPr>
      </w:pPr>
      <w:r>
        <w:rPr>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138430</wp:posOffset>
                </wp:positionV>
                <wp:extent cx="532003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2pt;margin-top:10.9pt;height:0pt;width:418.9pt;z-index:251659264;mso-width-relative:page;mso-height-relative:page;" filled="f" stroked="t" coordsize="21600,21600" o:gfxdata="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jwF5F1gAA&#10;AAcBAAAPAAAAAAAAAAEAIAAAACIAAABkcnMvZG93bnJldi54bWxQSwECFAAUAAAACACHTuJAONSQ&#10;+ecBAADAAwAADgAAAAAAAAABACAAAAAlAQAAZHJzL2Uyb0RvYy54bWxQSwUGAAAAAAYABgBZAQAA&#10;fgUAAAAA&#10;">
                <v:fill on="f" focussize="0,0"/>
                <v:stroke weight="1pt" color="#000000" miterlimit="8" joinstyle="miter"/>
                <v:imagedata o:title=""/>
                <o:lock v:ext="edit" aspectratio="f"/>
              </v:line>
            </w:pict>
          </mc:Fallback>
        </mc:AlternateContent>
      </w:r>
    </w:p>
    <w:p w14:paraId="36753C0D"/>
    <w:p w14:paraId="3E3C853C">
      <w:pPr>
        <w:spacing w:line="360" w:lineRule="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3FBF4">
    <w:pPr>
      <w:pStyle w:val="6"/>
      <w:jc w:val="right"/>
      <w:rPr>
        <w:rFonts w:ascii="黑体" w:hAnsi="黑体" w:eastAsia="黑体"/>
        <w:sz w:val="21"/>
        <w:szCs w:val="21"/>
      </w:rPr>
    </w:pPr>
    <w:r>
      <w:rPr>
        <w:rFonts w:hint="eastAsia" w:ascii="黑体" w:hAnsi="黑体" w:eastAsia="黑体"/>
        <w:sz w:val="21"/>
        <w:szCs w:val="21"/>
      </w:rPr>
      <w:t>T/CGFAXXX-202X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7302C"/>
    <w:rsid w:val="0008484B"/>
    <w:rsid w:val="00091057"/>
    <w:rsid w:val="00097D87"/>
    <w:rsid w:val="000A3398"/>
    <w:rsid w:val="000A5757"/>
    <w:rsid w:val="000F21BA"/>
    <w:rsid w:val="00100133"/>
    <w:rsid w:val="0011424D"/>
    <w:rsid w:val="00126F7C"/>
    <w:rsid w:val="00130537"/>
    <w:rsid w:val="00144191"/>
    <w:rsid w:val="00145262"/>
    <w:rsid w:val="001732AD"/>
    <w:rsid w:val="00195F3F"/>
    <w:rsid w:val="001964A2"/>
    <w:rsid w:val="001C40C6"/>
    <w:rsid w:val="001D0747"/>
    <w:rsid w:val="001E436F"/>
    <w:rsid w:val="001E4504"/>
    <w:rsid w:val="001E49BF"/>
    <w:rsid w:val="001E7B14"/>
    <w:rsid w:val="001F196C"/>
    <w:rsid w:val="001F5435"/>
    <w:rsid w:val="002249CE"/>
    <w:rsid w:val="00255975"/>
    <w:rsid w:val="00277412"/>
    <w:rsid w:val="00284188"/>
    <w:rsid w:val="00290B81"/>
    <w:rsid w:val="002A3268"/>
    <w:rsid w:val="002A622C"/>
    <w:rsid w:val="002C53AB"/>
    <w:rsid w:val="002D7100"/>
    <w:rsid w:val="002D727E"/>
    <w:rsid w:val="002F629C"/>
    <w:rsid w:val="003009D2"/>
    <w:rsid w:val="00314404"/>
    <w:rsid w:val="0031638D"/>
    <w:rsid w:val="00362AD7"/>
    <w:rsid w:val="00376B77"/>
    <w:rsid w:val="003818FA"/>
    <w:rsid w:val="003A7002"/>
    <w:rsid w:val="003C385A"/>
    <w:rsid w:val="003C5DFC"/>
    <w:rsid w:val="003D2C7F"/>
    <w:rsid w:val="004200CF"/>
    <w:rsid w:val="00425664"/>
    <w:rsid w:val="004315E1"/>
    <w:rsid w:val="004324CB"/>
    <w:rsid w:val="004421B8"/>
    <w:rsid w:val="0046420D"/>
    <w:rsid w:val="004718B0"/>
    <w:rsid w:val="0048271D"/>
    <w:rsid w:val="00490A26"/>
    <w:rsid w:val="004B62CA"/>
    <w:rsid w:val="004C76BF"/>
    <w:rsid w:val="004E3BC5"/>
    <w:rsid w:val="0051165A"/>
    <w:rsid w:val="0051595E"/>
    <w:rsid w:val="00526E5B"/>
    <w:rsid w:val="0053627E"/>
    <w:rsid w:val="005377B1"/>
    <w:rsid w:val="005436A0"/>
    <w:rsid w:val="0055096C"/>
    <w:rsid w:val="00557844"/>
    <w:rsid w:val="005B5378"/>
    <w:rsid w:val="005E7811"/>
    <w:rsid w:val="005F0435"/>
    <w:rsid w:val="005F1E2F"/>
    <w:rsid w:val="00600C63"/>
    <w:rsid w:val="006020E6"/>
    <w:rsid w:val="00620027"/>
    <w:rsid w:val="00624610"/>
    <w:rsid w:val="00651CC2"/>
    <w:rsid w:val="00686EED"/>
    <w:rsid w:val="006B70F4"/>
    <w:rsid w:val="006D5C49"/>
    <w:rsid w:val="00721A6B"/>
    <w:rsid w:val="00757232"/>
    <w:rsid w:val="0075774D"/>
    <w:rsid w:val="0077010A"/>
    <w:rsid w:val="007728FA"/>
    <w:rsid w:val="0077411F"/>
    <w:rsid w:val="0077564A"/>
    <w:rsid w:val="007A6D3E"/>
    <w:rsid w:val="007F08EB"/>
    <w:rsid w:val="007F2BC4"/>
    <w:rsid w:val="007F3FC4"/>
    <w:rsid w:val="008140A0"/>
    <w:rsid w:val="00864466"/>
    <w:rsid w:val="00867D3C"/>
    <w:rsid w:val="0088185C"/>
    <w:rsid w:val="008A06B7"/>
    <w:rsid w:val="008A222F"/>
    <w:rsid w:val="009025D3"/>
    <w:rsid w:val="0091155D"/>
    <w:rsid w:val="0091489B"/>
    <w:rsid w:val="00952BA1"/>
    <w:rsid w:val="00957353"/>
    <w:rsid w:val="00964416"/>
    <w:rsid w:val="00976753"/>
    <w:rsid w:val="00992832"/>
    <w:rsid w:val="009951B0"/>
    <w:rsid w:val="00996860"/>
    <w:rsid w:val="009A334C"/>
    <w:rsid w:val="009C7869"/>
    <w:rsid w:val="009F2712"/>
    <w:rsid w:val="00A015E0"/>
    <w:rsid w:val="00A163E7"/>
    <w:rsid w:val="00A2522D"/>
    <w:rsid w:val="00A26F00"/>
    <w:rsid w:val="00A40717"/>
    <w:rsid w:val="00A43C99"/>
    <w:rsid w:val="00A57868"/>
    <w:rsid w:val="00A655C7"/>
    <w:rsid w:val="00A7355D"/>
    <w:rsid w:val="00A82803"/>
    <w:rsid w:val="00AC0A43"/>
    <w:rsid w:val="00AC4068"/>
    <w:rsid w:val="00AD33F8"/>
    <w:rsid w:val="00AE1182"/>
    <w:rsid w:val="00B01F70"/>
    <w:rsid w:val="00B02880"/>
    <w:rsid w:val="00B16B13"/>
    <w:rsid w:val="00B23344"/>
    <w:rsid w:val="00B312E9"/>
    <w:rsid w:val="00B415E8"/>
    <w:rsid w:val="00B4185B"/>
    <w:rsid w:val="00B4292B"/>
    <w:rsid w:val="00B561D2"/>
    <w:rsid w:val="00B64532"/>
    <w:rsid w:val="00B70BDC"/>
    <w:rsid w:val="00B76B8B"/>
    <w:rsid w:val="00BE55C7"/>
    <w:rsid w:val="00C06815"/>
    <w:rsid w:val="00C07624"/>
    <w:rsid w:val="00C1303C"/>
    <w:rsid w:val="00C22D29"/>
    <w:rsid w:val="00C32BA4"/>
    <w:rsid w:val="00C32C33"/>
    <w:rsid w:val="00C45B2C"/>
    <w:rsid w:val="00C67A38"/>
    <w:rsid w:val="00C723C8"/>
    <w:rsid w:val="00C75AA2"/>
    <w:rsid w:val="00C75D47"/>
    <w:rsid w:val="00C83EB4"/>
    <w:rsid w:val="00C85EF8"/>
    <w:rsid w:val="00CA6880"/>
    <w:rsid w:val="00CD23D0"/>
    <w:rsid w:val="00CD3908"/>
    <w:rsid w:val="00CE74F2"/>
    <w:rsid w:val="00D20B0F"/>
    <w:rsid w:val="00D236B9"/>
    <w:rsid w:val="00D401ED"/>
    <w:rsid w:val="00D7118A"/>
    <w:rsid w:val="00D80868"/>
    <w:rsid w:val="00D85C24"/>
    <w:rsid w:val="00DB0819"/>
    <w:rsid w:val="00DC1E37"/>
    <w:rsid w:val="00DC25C0"/>
    <w:rsid w:val="00DC63D2"/>
    <w:rsid w:val="00DD12A7"/>
    <w:rsid w:val="00DD75F8"/>
    <w:rsid w:val="00DE01B4"/>
    <w:rsid w:val="00DE4CA2"/>
    <w:rsid w:val="00DE60B9"/>
    <w:rsid w:val="00E11F86"/>
    <w:rsid w:val="00E1627C"/>
    <w:rsid w:val="00E52F76"/>
    <w:rsid w:val="00E54975"/>
    <w:rsid w:val="00E82C7A"/>
    <w:rsid w:val="00E9117F"/>
    <w:rsid w:val="00E9181A"/>
    <w:rsid w:val="00E963D8"/>
    <w:rsid w:val="00EA4799"/>
    <w:rsid w:val="00EB5FE1"/>
    <w:rsid w:val="00F027FB"/>
    <w:rsid w:val="00F25705"/>
    <w:rsid w:val="00F5168A"/>
    <w:rsid w:val="00F718FC"/>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5FE77E"/>
    <w:rsid w:val="07807554"/>
    <w:rsid w:val="0790350F"/>
    <w:rsid w:val="07C733D5"/>
    <w:rsid w:val="07E850FA"/>
    <w:rsid w:val="07FBF08F"/>
    <w:rsid w:val="07FF9230"/>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0FDB3653"/>
    <w:rsid w:val="0FF7CB5F"/>
    <w:rsid w:val="11561326"/>
    <w:rsid w:val="11AB78C4"/>
    <w:rsid w:val="11E39881"/>
    <w:rsid w:val="12C549B5"/>
    <w:rsid w:val="12CA5B28"/>
    <w:rsid w:val="13117BFA"/>
    <w:rsid w:val="13806E8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BEC6787"/>
    <w:rsid w:val="1C9B0535"/>
    <w:rsid w:val="1D6628F1"/>
    <w:rsid w:val="1D6F0FC8"/>
    <w:rsid w:val="1DD43CFE"/>
    <w:rsid w:val="1DFF6021"/>
    <w:rsid w:val="1E0F11DA"/>
    <w:rsid w:val="1E672DC4"/>
    <w:rsid w:val="1E7F7152"/>
    <w:rsid w:val="1E8A6AB3"/>
    <w:rsid w:val="1EB27D85"/>
    <w:rsid w:val="1EDFBEF3"/>
    <w:rsid w:val="1EF81C6E"/>
    <w:rsid w:val="1EFCF67C"/>
    <w:rsid w:val="1F362114"/>
    <w:rsid w:val="1F3E3AD0"/>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7EE1E60"/>
    <w:rsid w:val="28B301C6"/>
    <w:rsid w:val="28D2297D"/>
    <w:rsid w:val="29F16DF3"/>
    <w:rsid w:val="2A225DF1"/>
    <w:rsid w:val="2A27165A"/>
    <w:rsid w:val="2A4E788B"/>
    <w:rsid w:val="2A677CA8"/>
    <w:rsid w:val="2B2452CC"/>
    <w:rsid w:val="2B7E2E33"/>
    <w:rsid w:val="2B9B5E5B"/>
    <w:rsid w:val="2C8D7E9A"/>
    <w:rsid w:val="2CFE39CB"/>
    <w:rsid w:val="2D502C75"/>
    <w:rsid w:val="2D8FD1ED"/>
    <w:rsid w:val="2DC34FAA"/>
    <w:rsid w:val="2DE661A3"/>
    <w:rsid w:val="2DF7F889"/>
    <w:rsid w:val="2DFD2DFD"/>
    <w:rsid w:val="2DFD661F"/>
    <w:rsid w:val="2E532A1D"/>
    <w:rsid w:val="2EDB1B3E"/>
    <w:rsid w:val="2EEF0D25"/>
    <w:rsid w:val="2EF719BE"/>
    <w:rsid w:val="2F633134"/>
    <w:rsid w:val="2F92AE9D"/>
    <w:rsid w:val="2FD8004D"/>
    <w:rsid w:val="2FF748A0"/>
    <w:rsid w:val="2FFF4DC4"/>
    <w:rsid w:val="304C1E4D"/>
    <w:rsid w:val="30C96FC7"/>
    <w:rsid w:val="30EB33E1"/>
    <w:rsid w:val="311566B0"/>
    <w:rsid w:val="312B7C81"/>
    <w:rsid w:val="31D23FEB"/>
    <w:rsid w:val="32156AF6"/>
    <w:rsid w:val="324B718F"/>
    <w:rsid w:val="33240E2C"/>
    <w:rsid w:val="334119DE"/>
    <w:rsid w:val="335A484E"/>
    <w:rsid w:val="336034E9"/>
    <w:rsid w:val="336B1DC0"/>
    <w:rsid w:val="339BD986"/>
    <w:rsid w:val="33D047EE"/>
    <w:rsid w:val="3421711A"/>
    <w:rsid w:val="3451291A"/>
    <w:rsid w:val="34678979"/>
    <w:rsid w:val="352769B2"/>
    <w:rsid w:val="35B798F0"/>
    <w:rsid w:val="35DC779C"/>
    <w:rsid w:val="35F5A462"/>
    <w:rsid w:val="360C2E3B"/>
    <w:rsid w:val="365B073B"/>
    <w:rsid w:val="377391EA"/>
    <w:rsid w:val="3784633D"/>
    <w:rsid w:val="37ACD3BC"/>
    <w:rsid w:val="37AF1F26"/>
    <w:rsid w:val="37BF1971"/>
    <w:rsid w:val="37D792C0"/>
    <w:rsid w:val="37DB9EF6"/>
    <w:rsid w:val="37DE666C"/>
    <w:rsid w:val="37DFBBA2"/>
    <w:rsid w:val="37E7E6B0"/>
    <w:rsid w:val="37EFE197"/>
    <w:rsid w:val="37FBF539"/>
    <w:rsid w:val="37FC7370"/>
    <w:rsid w:val="386B4E07"/>
    <w:rsid w:val="39537D75"/>
    <w:rsid w:val="39B12CEE"/>
    <w:rsid w:val="39BF365D"/>
    <w:rsid w:val="39C72511"/>
    <w:rsid w:val="3A647D60"/>
    <w:rsid w:val="3A917BE9"/>
    <w:rsid w:val="3AB7E2C6"/>
    <w:rsid w:val="3ADF5DCF"/>
    <w:rsid w:val="3AFD49DF"/>
    <w:rsid w:val="3B6DAC86"/>
    <w:rsid w:val="3BC96A15"/>
    <w:rsid w:val="3BFD0CA1"/>
    <w:rsid w:val="3C3C0F95"/>
    <w:rsid w:val="3CA9B1A1"/>
    <w:rsid w:val="3CE05DC4"/>
    <w:rsid w:val="3D2D05BA"/>
    <w:rsid w:val="3DDF95B6"/>
    <w:rsid w:val="3DF692C3"/>
    <w:rsid w:val="3DF9919E"/>
    <w:rsid w:val="3DFFF2E4"/>
    <w:rsid w:val="3E7A794B"/>
    <w:rsid w:val="3EBF80DD"/>
    <w:rsid w:val="3EDFD785"/>
    <w:rsid w:val="3EFD08F1"/>
    <w:rsid w:val="3F3DD386"/>
    <w:rsid w:val="3F6F0044"/>
    <w:rsid w:val="3F9333A3"/>
    <w:rsid w:val="3F9E6CAF"/>
    <w:rsid w:val="3F9EAA0D"/>
    <w:rsid w:val="3FBC78FE"/>
    <w:rsid w:val="3FBFDF15"/>
    <w:rsid w:val="3FDE5A41"/>
    <w:rsid w:val="3FDFA2F1"/>
    <w:rsid w:val="3FEF59E1"/>
    <w:rsid w:val="3FF2A662"/>
    <w:rsid w:val="3FFB9AD4"/>
    <w:rsid w:val="3FFBF1C3"/>
    <w:rsid w:val="3FFFCC57"/>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BFEFC03"/>
    <w:rsid w:val="4CE924D7"/>
    <w:rsid w:val="4D5325E2"/>
    <w:rsid w:val="4D5B28A4"/>
    <w:rsid w:val="4D6245D3"/>
    <w:rsid w:val="4D720EE4"/>
    <w:rsid w:val="4DC25072"/>
    <w:rsid w:val="4E04568A"/>
    <w:rsid w:val="4E37780E"/>
    <w:rsid w:val="4E4268CB"/>
    <w:rsid w:val="4E5B34FC"/>
    <w:rsid w:val="4E870795"/>
    <w:rsid w:val="4FBBEFAC"/>
    <w:rsid w:val="4FBD969D"/>
    <w:rsid w:val="4FF54529"/>
    <w:rsid w:val="50016325"/>
    <w:rsid w:val="500530CB"/>
    <w:rsid w:val="519C4558"/>
    <w:rsid w:val="51BEEED9"/>
    <w:rsid w:val="51FD18BA"/>
    <w:rsid w:val="526F5117"/>
    <w:rsid w:val="529945F3"/>
    <w:rsid w:val="52F21F55"/>
    <w:rsid w:val="537F6A81"/>
    <w:rsid w:val="54DF8EA4"/>
    <w:rsid w:val="552A59D6"/>
    <w:rsid w:val="55747599"/>
    <w:rsid w:val="55D75F51"/>
    <w:rsid w:val="55FBE284"/>
    <w:rsid w:val="562ECC18"/>
    <w:rsid w:val="56E35054"/>
    <w:rsid w:val="57A7CB43"/>
    <w:rsid w:val="57FDC831"/>
    <w:rsid w:val="57FE3A83"/>
    <w:rsid w:val="57FFF15E"/>
    <w:rsid w:val="583D3C73"/>
    <w:rsid w:val="58583623"/>
    <w:rsid w:val="58E742D2"/>
    <w:rsid w:val="58FB3007"/>
    <w:rsid w:val="597B2CA5"/>
    <w:rsid w:val="5A2EF664"/>
    <w:rsid w:val="5A79496C"/>
    <w:rsid w:val="5A7D2A4C"/>
    <w:rsid w:val="5ACC27AE"/>
    <w:rsid w:val="5ADA1C4D"/>
    <w:rsid w:val="5AFA409D"/>
    <w:rsid w:val="5B5FE24D"/>
    <w:rsid w:val="5B7F3C70"/>
    <w:rsid w:val="5BA436E3"/>
    <w:rsid w:val="5BAF33C3"/>
    <w:rsid w:val="5BE76411"/>
    <w:rsid w:val="5BF7B9E0"/>
    <w:rsid w:val="5BFF0C33"/>
    <w:rsid w:val="5C6C2D78"/>
    <w:rsid w:val="5D0EDA1B"/>
    <w:rsid w:val="5D2D08D3"/>
    <w:rsid w:val="5D7C2B5D"/>
    <w:rsid w:val="5D7FD5E3"/>
    <w:rsid w:val="5DA85532"/>
    <w:rsid w:val="5DAF151E"/>
    <w:rsid w:val="5DBE1E6D"/>
    <w:rsid w:val="5DE0757A"/>
    <w:rsid w:val="5DE973E1"/>
    <w:rsid w:val="5DFF1ABE"/>
    <w:rsid w:val="5E0F4894"/>
    <w:rsid w:val="5E45329D"/>
    <w:rsid w:val="5E7DFB02"/>
    <w:rsid w:val="5EB6CA48"/>
    <w:rsid w:val="5EC073AC"/>
    <w:rsid w:val="5EFC01E2"/>
    <w:rsid w:val="5EFF1BC6"/>
    <w:rsid w:val="5F133C78"/>
    <w:rsid w:val="5F1FC82E"/>
    <w:rsid w:val="5F526256"/>
    <w:rsid w:val="5F5B09CD"/>
    <w:rsid w:val="5F7C79FA"/>
    <w:rsid w:val="5F88611B"/>
    <w:rsid w:val="5F9D5474"/>
    <w:rsid w:val="5FB31F5C"/>
    <w:rsid w:val="5FB7C6B6"/>
    <w:rsid w:val="5FEB8A53"/>
    <w:rsid w:val="5FF56452"/>
    <w:rsid w:val="5FF8FF07"/>
    <w:rsid w:val="5FFB29DF"/>
    <w:rsid w:val="5FFE8213"/>
    <w:rsid w:val="5FFF29D5"/>
    <w:rsid w:val="60713D6F"/>
    <w:rsid w:val="612B1454"/>
    <w:rsid w:val="61761FA3"/>
    <w:rsid w:val="61994610"/>
    <w:rsid w:val="61FE0F96"/>
    <w:rsid w:val="62893CFB"/>
    <w:rsid w:val="62EA49F7"/>
    <w:rsid w:val="632EEB50"/>
    <w:rsid w:val="63BE3AE5"/>
    <w:rsid w:val="653DEF60"/>
    <w:rsid w:val="65735178"/>
    <w:rsid w:val="65B2E315"/>
    <w:rsid w:val="66081D64"/>
    <w:rsid w:val="66EA76BB"/>
    <w:rsid w:val="66EC758D"/>
    <w:rsid w:val="678F04D5"/>
    <w:rsid w:val="679F70F7"/>
    <w:rsid w:val="67B72278"/>
    <w:rsid w:val="67CAF1BA"/>
    <w:rsid w:val="67E265E5"/>
    <w:rsid w:val="67E42A85"/>
    <w:rsid w:val="67EB56E7"/>
    <w:rsid w:val="67EF5022"/>
    <w:rsid w:val="68376930"/>
    <w:rsid w:val="6895B329"/>
    <w:rsid w:val="69B724CB"/>
    <w:rsid w:val="69BB533F"/>
    <w:rsid w:val="69CE0BCF"/>
    <w:rsid w:val="69F73B86"/>
    <w:rsid w:val="6A813E93"/>
    <w:rsid w:val="6A9040D6"/>
    <w:rsid w:val="6B247141"/>
    <w:rsid w:val="6B2519DB"/>
    <w:rsid w:val="6BA0659B"/>
    <w:rsid w:val="6BAEB081"/>
    <w:rsid w:val="6BBB87E1"/>
    <w:rsid w:val="6BD1916D"/>
    <w:rsid w:val="6BDBF923"/>
    <w:rsid w:val="6BF568E6"/>
    <w:rsid w:val="6BFB33DA"/>
    <w:rsid w:val="6C103720"/>
    <w:rsid w:val="6C753AB1"/>
    <w:rsid w:val="6CD72274"/>
    <w:rsid w:val="6CD7476D"/>
    <w:rsid w:val="6CF769FF"/>
    <w:rsid w:val="6CFC4572"/>
    <w:rsid w:val="6D090170"/>
    <w:rsid w:val="6E080427"/>
    <w:rsid w:val="6E114777"/>
    <w:rsid w:val="6E95615F"/>
    <w:rsid w:val="6E9F924C"/>
    <w:rsid w:val="6EA74844"/>
    <w:rsid w:val="6ECB7DD2"/>
    <w:rsid w:val="6EDB62BA"/>
    <w:rsid w:val="6EDF12CB"/>
    <w:rsid w:val="6F2C6D0B"/>
    <w:rsid w:val="6F3F5F2D"/>
    <w:rsid w:val="6F650CA1"/>
    <w:rsid w:val="6F672E4C"/>
    <w:rsid w:val="6F6F5BF5"/>
    <w:rsid w:val="6F7F181B"/>
    <w:rsid w:val="6F934555"/>
    <w:rsid w:val="6FBD139E"/>
    <w:rsid w:val="6FD63BBF"/>
    <w:rsid w:val="6FDF5B65"/>
    <w:rsid w:val="6FE67EB9"/>
    <w:rsid w:val="6FEE1FCA"/>
    <w:rsid w:val="6FF84E79"/>
    <w:rsid w:val="6FFACAFA"/>
    <w:rsid w:val="6FFB46E7"/>
    <w:rsid w:val="6FFE73E3"/>
    <w:rsid w:val="6FFFB8A2"/>
    <w:rsid w:val="702E0619"/>
    <w:rsid w:val="706978A3"/>
    <w:rsid w:val="70B34FC2"/>
    <w:rsid w:val="711F61B4"/>
    <w:rsid w:val="717F3CB0"/>
    <w:rsid w:val="718B55F7"/>
    <w:rsid w:val="71FA51AB"/>
    <w:rsid w:val="72A526E9"/>
    <w:rsid w:val="732775A1"/>
    <w:rsid w:val="732D105C"/>
    <w:rsid w:val="735F5490"/>
    <w:rsid w:val="736E17A9"/>
    <w:rsid w:val="739EA082"/>
    <w:rsid w:val="73CD1EF7"/>
    <w:rsid w:val="73CD639B"/>
    <w:rsid w:val="73EFABE7"/>
    <w:rsid w:val="747C22C0"/>
    <w:rsid w:val="74CE0528"/>
    <w:rsid w:val="74E7348C"/>
    <w:rsid w:val="75330480"/>
    <w:rsid w:val="755EF398"/>
    <w:rsid w:val="75B457A7"/>
    <w:rsid w:val="75B82733"/>
    <w:rsid w:val="75DBF1A8"/>
    <w:rsid w:val="75E91491"/>
    <w:rsid w:val="75FB070E"/>
    <w:rsid w:val="75FBB44B"/>
    <w:rsid w:val="764A3036"/>
    <w:rsid w:val="768105F7"/>
    <w:rsid w:val="76DAA621"/>
    <w:rsid w:val="76ED5268"/>
    <w:rsid w:val="76F1634F"/>
    <w:rsid w:val="773329B9"/>
    <w:rsid w:val="77373689"/>
    <w:rsid w:val="7753612C"/>
    <w:rsid w:val="7755371E"/>
    <w:rsid w:val="775D3592"/>
    <w:rsid w:val="7771B7C1"/>
    <w:rsid w:val="777A05E8"/>
    <w:rsid w:val="777B4364"/>
    <w:rsid w:val="77B6E3ED"/>
    <w:rsid w:val="77D99F6F"/>
    <w:rsid w:val="77DD36AC"/>
    <w:rsid w:val="77DF75C5"/>
    <w:rsid w:val="77E7E8F2"/>
    <w:rsid w:val="77EBF16E"/>
    <w:rsid w:val="77F0638C"/>
    <w:rsid w:val="77F23AC1"/>
    <w:rsid w:val="77F396B5"/>
    <w:rsid w:val="77F8612C"/>
    <w:rsid w:val="77F9CEBA"/>
    <w:rsid w:val="77FA20E4"/>
    <w:rsid w:val="77FD9B8F"/>
    <w:rsid w:val="77FF6ACD"/>
    <w:rsid w:val="78BBA52A"/>
    <w:rsid w:val="78F60BEE"/>
    <w:rsid w:val="78F77FA9"/>
    <w:rsid w:val="79391BFE"/>
    <w:rsid w:val="797E0129"/>
    <w:rsid w:val="79BF41F5"/>
    <w:rsid w:val="79EB135B"/>
    <w:rsid w:val="79F13150"/>
    <w:rsid w:val="7A140880"/>
    <w:rsid w:val="7A7D1EC5"/>
    <w:rsid w:val="7A7F142B"/>
    <w:rsid w:val="7A810ADB"/>
    <w:rsid w:val="7AFD7566"/>
    <w:rsid w:val="7B3D5BB4"/>
    <w:rsid w:val="7B445194"/>
    <w:rsid w:val="7B7CB336"/>
    <w:rsid w:val="7B943312"/>
    <w:rsid w:val="7BAE4230"/>
    <w:rsid w:val="7BDE39F5"/>
    <w:rsid w:val="7BF16A81"/>
    <w:rsid w:val="7BF3FEE9"/>
    <w:rsid w:val="7BFF5489"/>
    <w:rsid w:val="7C277F07"/>
    <w:rsid w:val="7C5F3514"/>
    <w:rsid w:val="7C6453C2"/>
    <w:rsid w:val="7C7E0232"/>
    <w:rsid w:val="7C8761AA"/>
    <w:rsid w:val="7CCB71F0"/>
    <w:rsid w:val="7CD7CD28"/>
    <w:rsid w:val="7CEA224B"/>
    <w:rsid w:val="7CF3BA31"/>
    <w:rsid w:val="7CFF47D8"/>
    <w:rsid w:val="7CFFAF60"/>
    <w:rsid w:val="7D2E3AC6"/>
    <w:rsid w:val="7D5F66C0"/>
    <w:rsid w:val="7D6A0567"/>
    <w:rsid w:val="7D7F115A"/>
    <w:rsid w:val="7D92071E"/>
    <w:rsid w:val="7DA3B321"/>
    <w:rsid w:val="7DA71A0B"/>
    <w:rsid w:val="7DB349BF"/>
    <w:rsid w:val="7DDD5D0A"/>
    <w:rsid w:val="7DDF4CAF"/>
    <w:rsid w:val="7DDF7DA0"/>
    <w:rsid w:val="7DF7A6C7"/>
    <w:rsid w:val="7DF94D62"/>
    <w:rsid w:val="7DFCD63A"/>
    <w:rsid w:val="7DFE0C28"/>
    <w:rsid w:val="7E1D3A7B"/>
    <w:rsid w:val="7E5C421F"/>
    <w:rsid w:val="7E6F5499"/>
    <w:rsid w:val="7E8FE134"/>
    <w:rsid w:val="7E9F0C20"/>
    <w:rsid w:val="7EB4618D"/>
    <w:rsid w:val="7EB746D4"/>
    <w:rsid w:val="7EBE6EC5"/>
    <w:rsid w:val="7EBF0B93"/>
    <w:rsid w:val="7ECB1729"/>
    <w:rsid w:val="7ECC5EFF"/>
    <w:rsid w:val="7ECE88CD"/>
    <w:rsid w:val="7EDD0871"/>
    <w:rsid w:val="7EE53B59"/>
    <w:rsid w:val="7EE7B080"/>
    <w:rsid w:val="7EE7DF7D"/>
    <w:rsid w:val="7EE8779C"/>
    <w:rsid w:val="7EEB2EF6"/>
    <w:rsid w:val="7EEEFAF0"/>
    <w:rsid w:val="7EEF296A"/>
    <w:rsid w:val="7EF1196C"/>
    <w:rsid w:val="7EF710F1"/>
    <w:rsid w:val="7EFB4FD8"/>
    <w:rsid w:val="7F1C73E1"/>
    <w:rsid w:val="7F5259A6"/>
    <w:rsid w:val="7F73F8B2"/>
    <w:rsid w:val="7F764FD5"/>
    <w:rsid w:val="7F77DE6A"/>
    <w:rsid w:val="7F79D377"/>
    <w:rsid w:val="7F7A9BBD"/>
    <w:rsid w:val="7F7BFD13"/>
    <w:rsid w:val="7F7F3CF8"/>
    <w:rsid w:val="7F7FAF74"/>
    <w:rsid w:val="7F96792D"/>
    <w:rsid w:val="7F9A1188"/>
    <w:rsid w:val="7FBFA037"/>
    <w:rsid w:val="7FCFCA75"/>
    <w:rsid w:val="7FD69985"/>
    <w:rsid w:val="7FDC4C92"/>
    <w:rsid w:val="7FDF6C88"/>
    <w:rsid w:val="7FDFD9D1"/>
    <w:rsid w:val="7FE41608"/>
    <w:rsid w:val="7FE6EC7E"/>
    <w:rsid w:val="7FEBF00E"/>
    <w:rsid w:val="7FF70A3A"/>
    <w:rsid w:val="7FFB558B"/>
    <w:rsid w:val="7FFD0449"/>
    <w:rsid w:val="7FFD8529"/>
    <w:rsid w:val="7FFE3C16"/>
    <w:rsid w:val="7FFF3BB2"/>
    <w:rsid w:val="7FFF51F4"/>
    <w:rsid w:val="7FFF6240"/>
    <w:rsid w:val="835FC0F6"/>
    <w:rsid w:val="8B3D986A"/>
    <w:rsid w:val="8D9FB2FD"/>
    <w:rsid w:val="8EF72B77"/>
    <w:rsid w:val="8FDB17DD"/>
    <w:rsid w:val="8FFAB12B"/>
    <w:rsid w:val="95FF1D67"/>
    <w:rsid w:val="96D53D21"/>
    <w:rsid w:val="97C7EC4F"/>
    <w:rsid w:val="9BF27ECB"/>
    <w:rsid w:val="9BF57F97"/>
    <w:rsid w:val="9CD31785"/>
    <w:rsid w:val="9D78EC13"/>
    <w:rsid w:val="9EDFA2FD"/>
    <w:rsid w:val="A063CDF4"/>
    <w:rsid w:val="AAE37E19"/>
    <w:rsid w:val="ABF11D45"/>
    <w:rsid w:val="AFA5E43A"/>
    <w:rsid w:val="AFBFED3D"/>
    <w:rsid w:val="AFFB09AC"/>
    <w:rsid w:val="B3DAEFD7"/>
    <w:rsid w:val="B4BFAE9C"/>
    <w:rsid w:val="B6BB5D8E"/>
    <w:rsid w:val="B7C5CB4C"/>
    <w:rsid w:val="B7EF40AE"/>
    <w:rsid w:val="B7F7AE6D"/>
    <w:rsid w:val="B88C1D23"/>
    <w:rsid w:val="B8DF57B7"/>
    <w:rsid w:val="B8FFB4C0"/>
    <w:rsid w:val="BAFB5AF9"/>
    <w:rsid w:val="BB2A2906"/>
    <w:rsid w:val="BBD3D57A"/>
    <w:rsid w:val="BBFF3B04"/>
    <w:rsid w:val="BDBD858C"/>
    <w:rsid w:val="BDD2F8D1"/>
    <w:rsid w:val="BDE38481"/>
    <w:rsid w:val="BE4551F6"/>
    <w:rsid w:val="BE7FDF48"/>
    <w:rsid w:val="BEFBE178"/>
    <w:rsid w:val="BF0F6331"/>
    <w:rsid w:val="BF34C39A"/>
    <w:rsid w:val="BF63AC6F"/>
    <w:rsid w:val="BF7B3ADE"/>
    <w:rsid w:val="BF893115"/>
    <w:rsid w:val="BF9B64E7"/>
    <w:rsid w:val="BFB6F93E"/>
    <w:rsid w:val="BFD38729"/>
    <w:rsid w:val="BFDFA703"/>
    <w:rsid w:val="BFEFAAF2"/>
    <w:rsid w:val="BFFBBAF9"/>
    <w:rsid w:val="BFFD5DD2"/>
    <w:rsid w:val="C474DBEA"/>
    <w:rsid w:val="C67313B4"/>
    <w:rsid w:val="C6EF578D"/>
    <w:rsid w:val="C6FB2D7A"/>
    <w:rsid w:val="C7AF0FFF"/>
    <w:rsid w:val="C9BF4EE8"/>
    <w:rsid w:val="C9CE62AB"/>
    <w:rsid w:val="C9ED7E7B"/>
    <w:rsid w:val="CB776901"/>
    <w:rsid w:val="CB7FA6D1"/>
    <w:rsid w:val="CBA97C5F"/>
    <w:rsid w:val="CBD7BD19"/>
    <w:rsid w:val="CF3FE005"/>
    <w:rsid w:val="CF7D47E5"/>
    <w:rsid w:val="CFC83BF4"/>
    <w:rsid w:val="CFED6B74"/>
    <w:rsid w:val="D29F6E1B"/>
    <w:rsid w:val="D2CF851C"/>
    <w:rsid w:val="D3F70A9D"/>
    <w:rsid w:val="D3FFF80A"/>
    <w:rsid w:val="D5BF9A9D"/>
    <w:rsid w:val="D65FD6CA"/>
    <w:rsid w:val="D6F31BF6"/>
    <w:rsid w:val="D7EF8C86"/>
    <w:rsid w:val="D7F373D3"/>
    <w:rsid w:val="D857A74E"/>
    <w:rsid w:val="D994EFB5"/>
    <w:rsid w:val="D9DBC95F"/>
    <w:rsid w:val="D9E36032"/>
    <w:rsid w:val="DAE6433B"/>
    <w:rsid w:val="DD77F4B2"/>
    <w:rsid w:val="DDB641CE"/>
    <w:rsid w:val="DDBF15A6"/>
    <w:rsid w:val="DDCB1E84"/>
    <w:rsid w:val="DDDFC3A2"/>
    <w:rsid w:val="DDFDA965"/>
    <w:rsid w:val="DDFE77E7"/>
    <w:rsid w:val="DDFF010D"/>
    <w:rsid w:val="DE7DB3DD"/>
    <w:rsid w:val="DEDFF80C"/>
    <w:rsid w:val="DEE23EE2"/>
    <w:rsid w:val="DF0A7EB7"/>
    <w:rsid w:val="DF256863"/>
    <w:rsid w:val="DF2E4633"/>
    <w:rsid w:val="DF570B5A"/>
    <w:rsid w:val="DF7BF961"/>
    <w:rsid w:val="DFBD463E"/>
    <w:rsid w:val="DFDF392A"/>
    <w:rsid w:val="DFDFEF45"/>
    <w:rsid w:val="DFEBF406"/>
    <w:rsid w:val="DFF6A886"/>
    <w:rsid w:val="DFF6AC5A"/>
    <w:rsid w:val="DFFFDBAE"/>
    <w:rsid w:val="E07B4559"/>
    <w:rsid w:val="E3776C4B"/>
    <w:rsid w:val="E3D7E3DC"/>
    <w:rsid w:val="E3FB2E8A"/>
    <w:rsid w:val="E5BEDB4E"/>
    <w:rsid w:val="E5FDAB74"/>
    <w:rsid w:val="E5FEB68D"/>
    <w:rsid w:val="E6F1041D"/>
    <w:rsid w:val="E6FABDAF"/>
    <w:rsid w:val="E7B5273A"/>
    <w:rsid w:val="E7B5EB4A"/>
    <w:rsid w:val="E7EB194A"/>
    <w:rsid w:val="E7FFFD1F"/>
    <w:rsid w:val="E9FB288F"/>
    <w:rsid w:val="EA7EDA1D"/>
    <w:rsid w:val="EAAB221E"/>
    <w:rsid w:val="EAEB55AA"/>
    <w:rsid w:val="EBFE220B"/>
    <w:rsid w:val="EBFF5593"/>
    <w:rsid w:val="EC5B0538"/>
    <w:rsid w:val="ECBF9023"/>
    <w:rsid w:val="ECEB34A1"/>
    <w:rsid w:val="ECEBE4BC"/>
    <w:rsid w:val="ECFFF066"/>
    <w:rsid w:val="ED8E7863"/>
    <w:rsid w:val="EDD7FF17"/>
    <w:rsid w:val="EDE03043"/>
    <w:rsid w:val="EDEDB4D7"/>
    <w:rsid w:val="EE47D59B"/>
    <w:rsid w:val="EE7F1F69"/>
    <w:rsid w:val="EE7F8A69"/>
    <w:rsid w:val="EEFBBC47"/>
    <w:rsid w:val="EEFF04CD"/>
    <w:rsid w:val="EEFF4B10"/>
    <w:rsid w:val="EF6B3374"/>
    <w:rsid w:val="EF7769C9"/>
    <w:rsid w:val="EF959251"/>
    <w:rsid w:val="EFAF782B"/>
    <w:rsid w:val="EFB1D1CA"/>
    <w:rsid w:val="EFBE630F"/>
    <w:rsid w:val="EFD245BE"/>
    <w:rsid w:val="EFD5E179"/>
    <w:rsid w:val="EFDBEC63"/>
    <w:rsid w:val="EFE747E5"/>
    <w:rsid w:val="EFF9132F"/>
    <w:rsid w:val="EFFD3669"/>
    <w:rsid w:val="EFFD7884"/>
    <w:rsid w:val="EFFF1EC9"/>
    <w:rsid w:val="F1EF353B"/>
    <w:rsid w:val="F1F8C374"/>
    <w:rsid w:val="F2DDD5EF"/>
    <w:rsid w:val="F35A97C3"/>
    <w:rsid w:val="F39CAE35"/>
    <w:rsid w:val="F3BF76BE"/>
    <w:rsid w:val="F3C6F6B3"/>
    <w:rsid w:val="F3DBCD74"/>
    <w:rsid w:val="F3DFB386"/>
    <w:rsid w:val="F3EEE305"/>
    <w:rsid w:val="F3F28D02"/>
    <w:rsid w:val="F3F6C191"/>
    <w:rsid w:val="F3FDE354"/>
    <w:rsid w:val="F52B4FA1"/>
    <w:rsid w:val="F52F8131"/>
    <w:rsid w:val="F5B64BB1"/>
    <w:rsid w:val="F5BD8E10"/>
    <w:rsid w:val="F5DFA439"/>
    <w:rsid w:val="F5DFD26F"/>
    <w:rsid w:val="F5EE588D"/>
    <w:rsid w:val="F5EE7BBE"/>
    <w:rsid w:val="F6D8E471"/>
    <w:rsid w:val="F76BB3D5"/>
    <w:rsid w:val="F76DC032"/>
    <w:rsid w:val="F779A557"/>
    <w:rsid w:val="F77B9D16"/>
    <w:rsid w:val="F77DA8D1"/>
    <w:rsid w:val="F78EA3C4"/>
    <w:rsid w:val="F7AF734C"/>
    <w:rsid w:val="F7E10A9C"/>
    <w:rsid w:val="F7E36BFB"/>
    <w:rsid w:val="F7F96B39"/>
    <w:rsid w:val="F7FBD77B"/>
    <w:rsid w:val="F99FA911"/>
    <w:rsid w:val="F99FEAB5"/>
    <w:rsid w:val="F9CFC864"/>
    <w:rsid w:val="F9E855CA"/>
    <w:rsid w:val="F9ED1807"/>
    <w:rsid w:val="F9F6EE43"/>
    <w:rsid w:val="F9FF8C13"/>
    <w:rsid w:val="FA3F642D"/>
    <w:rsid w:val="FA3F8995"/>
    <w:rsid w:val="FA7FF601"/>
    <w:rsid w:val="FAB727FC"/>
    <w:rsid w:val="FABB07C0"/>
    <w:rsid w:val="FAEFFDEE"/>
    <w:rsid w:val="FAFEEFDB"/>
    <w:rsid w:val="FB28C55B"/>
    <w:rsid w:val="FB5EDE4F"/>
    <w:rsid w:val="FB654C1A"/>
    <w:rsid w:val="FB6F33FA"/>
    <w:rsid w:val="FB7AAF2C"/>
    <w:rsid w:val="FB7AF6A0"/>
    <w:rsid w:val="FB7F8B79"/>
    <w:rsid w:val="FB8F2B12"/>
    <w:rsid w:val="FBAFC3F6"/>
    <w:rsid w:val="FBC7475F"/>
    <w:rsid w:val="FBC8458A"/>
    <w:rsid w:val="FBDF9D53"/>
    <w:rsid w:val="FBEE4A7A"/>
    <w:rsid w:val="FBEFFA66"/>
    <w:rsid w:val="FBFB5CAC"/>
    <w:rsid w:val="FBFE681A"/>
    <w:rsid w:val="FC5FC5F7"/>
    <w:rsid w:val="FCAFE8F5"/>
    <w:rsid w:val="FCBF3098"/>
    <w:rsid w:val="FCBF8BFC"/>
    <w:rsid w:val="FCDC818C"/>
    <w:rsid w:val="FCFB8158"/>
    <w:rsid w:val="FCFF6EA6"/>
    <w:rsid w:val="FCFFC223"/>
    <w:rsid w:val="FD38E1E5"/>
    <w:rsid w:val="FD58C293"/>
    <w:rsid w:val="FD5C488D"/>
    <w:rsid w:val="FD7F46B6"/>
    <w:rsid w:val="FD9DF9FF"/>
    <w:rsid w:val="FDAECEBC"/>
    <w:rsid w:val="FDE32267"/>
    <w:rsid w:val="FDF9C597"/>
    <w:rsid w:val="FDFB0C42"/>
    <w:rsid w:val="FDFDCB3C"/>
    <w:rsid w:val="FE69872A"/>
    <w:rsid w:val="FE7A0557"/>
    <w:rsid w:val="FE7CA99A"/>
    <w:rsid w:val="FE7D7598"/>
    <w:rsid w:val="FE951880"/>
    <w:rsid w:val="FEBEAB77"/>
    <w:rsid w:val="FEBFEE82"/>
    <w:rsid w:val="FECB009A"/>
    <w:rsid w:val="FED4FFF9"/>
    <w:rsid w:val="FEE3E7AE"/>
    <w:rsid w:val="FEEB79D1"/>
    <w:rsid w:val="FEF5A50D"/>
    <w:rsid w:val="FEFD8E31"/>
    <w:rsid w:val="FEFE9955"/>
    <w:rsid w:val="FEFEE474"/>
    <w:rsid w:val="FEFFA08F"/>
    <w:rsid w:val="FF1D4E26"/>
    <w:rsid w:val="FF3C5C4B"/>
    <w:rsid w:val="FF55F5B3"/>
    <w:rsid w:val="FF7CF706"/>
    <w:rsid w:val="FF7E5851"/>
    <w:rsid w:val="FF9C5364"/>
    <w:rsid w:val="FF9FC344"/>
    <w:rsid w:val="FFBB4E2C"/>
    <w:rsid w:val="FFBFBD73"/>
    <w:rsid w:val="FFBFE0A3"/>
    <w:rsid w:val="FFD17C35"/>
    <w:rsid w:val="FFD19EA3"/>
    <w:rsid w:val="FFD3CDF0"/>
    <w:rsid w:val="FFDDE95E"/>
    <w:rsid w:val="FFDECB90"/>
    <w:rsid w:val="FFE392E4"/>
    <w:rsid w:val="FFE3B9B7"/>
    <w:rsid w:val="FFEBB27E"/>
    <w:rsid w:val="FFF7C34F"/>
    <w:rsid w:val="FFFB1BA3"/>
    <w:rsid w:val="FFFB893B"/>
    <w:rsid w:val="FFFD398D"/>
    <w:rsid w:val="FFFD9FFA"/>
    <w:rsid w:val="FFFEA658"/>
    <w:rsid w:val="FFFF1BF6"/>
    <w:rsid w:val="FFFF6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Char"/>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Char"/>
    <w:basedOn w:val="11"/>
    <w:link w:val="3"/>
    <w:qFormat/>
    <w:uiPriority w:val="99"/>
    <w:rPr>
      <w:rFonts w:asciiTheme="minorHAnsi" w:hAnsiTheme="minorHAnsi" w:eastAsiaTheme="minorEastAsia" w:cstheme="minorBidi"/>
      <w:kern w:val="2"/>
      <w:sz w:val="21"/>
      <w:szCs w:val="22"/>
    </w:rPr>
  </w:style>
  <w:style w:type="character" w:customStyle="1" w:styleId="33">
    <w:name w:val="批注主题 Char"/>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Char"/>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character" w:customStyle="1" w:styleId="36">
    <w:name w:val="段 Char"/>
    <w:basedOn w:val="11"/>
    <w:link w:val="37"/>
    <w:qFormat/>
    <w:locked/>
    <w:uiPriority w:val="0"/>
    <w:rPr>
      <w:rFonts w:ascii="宋体" w:cs="宋体"/>
      <w:sz w:val="21"/>
      <w:szCs w:val="21"/>
    </w:rPr>
  </w:style>
  <w:style w:type="paragraph" w:customStyle="1" w:styleId="37">
    <w:name w:val="段"/>
    <w:link w:val="36"/>
    <w:qFormat/>
    <w:uiPriority w:val="0"/>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 w:type="paragraph" w:customStyle="1" w:styleId="38">
    <w:name w:val="列出段落1"/>
    <w:basedOn w:val="1"/>
    <w:qFormat/>
    <w:uiPriority w:val="99"/>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1FA2EA2A">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0A31DA"/>
    <w:rsid w:val="00107CCF"/>
    <w:rsid w:val="001223D9"/>
    <w:rsid w:val="001352C1"/>
    <w:rsid w:val="00217FB2"/>
    <w:rsid w:val="00252A62"/>
    <w:rsid w:val="002D3947"/>
    <w:rsid w:val="002D5006"/>
    <w:rsid w:val="00314404"/>
    <w:rsid w:val="00315A81"/>
    <w:rsid w:val="003333C0"/>
    <w:rsid w:val="00342170"/>
    <w:rsid w:val="003516C4"/>
    <w:rsid w:val="00470ACD"/>
    <w:rsid w:val="004A3EED"/>
    <w:rsid w:val="004C364B"/>
    <w:rsid w:val="00517166"/>
    <w:rsid w:val="005329DB"/>
    <w:rsid w:val="0054598D"/>
    <w:rsid w:val="005B3148"/>
    <w:rsid w:val="00600C63"/>
    <w:rsid w:val="006C2C4D"/>
    <w:rsid w:val="007740C4"/>
    <w:rsid w:val="007E44E9"/>
    <w:rsid w:val="00844D40"/>
    <w:rsid w:val="009C7869"/>
    <w:rsid w:val="00A015E0"/>
    <w:rsid w:val="00A82B62"/>
    <w:rsid w:val="00AD2C20"/>
    <w:rsid w:val="00B1217C"/>
    <w:rsid w:val="00BD60DB"/>
    <w:rsid w:val="00C61AA7"/>
    <w:rsid w:val="00CD43EF"/>
    <w:rsid w:val="00D01B5A"/>
    <w:rsid w:val="00D80868"/>
    <w:rsid w:val="00DD75F8"/>
    <w:rsid w:val="00E471FB"/>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5436</Words>
  <Characters>6205</Characters>
  <Lines>48</Lines>
  <Paragraphs>13</Paragraphs>
  <TotalTime>5</TotalTime>
  <ScaleCrop>false</ScaleCrop>
  <LinksUpToDate>false</LinksUpToDate>
  <CharactersWithSpaces>6346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2026-03-21T22:55:00Z</dcterms:created>
  <dc:creator>志成</dc:creator>
  <cp:lastModifiedBy>房正</cp:lastModifiedBy>
  <cp:lastPrinted>2025-04-10T23:06:00Z</cp:lastPrinted>
  <dcterms:modified xsi:type="dcterms:W3CDTF">2026-04-15T02:23:16Z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77CDF20270C246CE915B71EC47BC2121_13</vt:lpwstr>
  </property>
  <property fmtid="{D5CDD505-2E9C-101B-9397-08002B2CF9AE}" pid="4" name="KSOTemplateDocerSaveRecord">
    <vt:lpwstr>eyJoZGlkIjoiMGUyOGZlMzdlZWEyMGFlYzc0ZWE1MGJlZjA4NmY3NTMiLCJ1c2VySWQiOiIyNzM3NDc2MDMifQ==</vt:lpwstr>
  </property>
</Properties>
</file>